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856"/>
        <w:gridCol w:w="3776"/>
      </w:tblGrid>
      <w:tr w:rsidR="001F2B92" w:rsidRPr="00624C6F" w:rsidTr="001F2B92">
        <w:tc>
          <w:tcPr>
            <w:tcW w:w="3886" w:type="dxa"/>
          </w:tcPr>
          <w:p w:rsidR="001F2B92" w:rsidRPr="00624C6F" w:rsidRDefault="001F2B92" w:rsidP="001F2B92">
            <w:pPr>
              <w:tabs>
                <w:tab w:val="left" w:pos="360"/>
              </w:tabs>
              <w:suppressAutoHyphens/>
              <w:rPr>
                <w:rFonts w:ascii="Cambria" w:hAnsi="Cambria"/>
                <w:sz w:val="20"/>
                <w:lang w:val="en-US"/>
              </w:rPr>
            </w:pPr>
            <w:r w:rsidRPr="00624C6F">
              <w:rPr>
                <w:noProof/>
                <w:lang w:val="en-US"/>
              </w:rPr>
              <w:drawing>
                <wp:inline distT="0" distB="0" distL="0" distR="0" wp14:anchorId="14839CC8" wp14:editId="18226373">
                  <wp:extent cx="2128520" cy="474345"/>
                  <wp:effectExtent l="0" t="0" r="5080" b="1905"/>
                  <wp:docPr id="2" name="Imagen 2" descr="iac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8520" cy="474345"/>
                          </a:xfrm>
                          <a:prstGeom prst="rect">
                            <a:avLst/>
                          </a:prstGeom>
                          <a:noFill/>
                        </pic:spPr>
                      </pic:pic>
                    </a:graphicData>
                  </a:graphic>
                </wp:inline>
              </w:drawing>
            </w:r>
          </w:p>
        </w:tc>
        <w:tc>
          <w:tcPr>
            <w:tcW w:w="3886" w:type="dxa"/>
          </w:tcPr>
          <w:p w:rsidR="001F2B92" w:rsidRPr="00624C6F" w:rsidRDefault="001F2B92" w:rsidP="001F2B92">
            <w:pPr>
              <w:tabs>
                <w:tab w:val="left" w:pos="360"/>
              </w:tabs>
              <w:suppressAutoHyphens/>
              <w:jc w:val="right"/>
              <w:rPr>
                <w:rFonts w:ascii="Cambria" w:hAnsi="Cambria"/>
                <w:sz w:val="20"/>
                <w:lang w:val="en-US"/>
              </w:rPr>
            </w:pPr>
            <w:r w:rsidRPr="00624C6F">
              <w:rPr>
                <w:noProof/>
                <w:lang w:val="en-US"/>
              </w:rPr>
              <w:drawing>
                <wp:inline distT="0" distB="0" distL="0" distR="0" wp14:anchorId="7A4DEE7E" wp14:editId="1AC34F10">
                  <wp:extent cx="1602105" cy="541020"/>
                  <wp:effectExtent l="0" t="0" r="0" b="0"/>
                  <wp:docPr id="3" name="Imagen 3" descr="OAS_Seal_ENG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_Seal_ENG_Princip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105" cy="541020"/>
                          </a:xfrm>
                          <a:prstGeom prst="rect">
                            <a:avLst/>
                          </a:prstGeom>
                          <a:noFill/>
                        </pic:spPr>
                      </pic:pic>
                    </a:graphicData>
                  </a:graphic>
                </wp:inline>
              </w:drawing>
            </w:r>
          </w:p>
        </w:tc>
      </w:tr>
    </w:tbl>
    <w:p w:rsidR="001F2B92" w:rsidRPr="00624C6F" w:rsidRDefault="001F2B92" w:rsidP="001F2B92">
      <w:pPr>
        <w:tabs>
          <w:tab w:val="left" w:pos="360"/>
        </w:tabs>
        <w:suppressAutoHyphens/>
        <w:rPr>
          <w:rFonts w:ascii="Cambria" w:hAnsi="Cambria"/>
          <w:sz w:val="20"/>
          <w:lang w:val="en-US"/>
        </w:rPr>
      </w:pPr>
    </w:p>
    <w:p w:rsidR="001F2B92" w:rsidRPr="00624C6F" w:rsidRDefault="001F2B92" w:rsidP="001F2B92">
      <w:pPr>
        <w:tabs>
          <w:tab w:val="left" w:pos="360"/>
        </w:tabs>
        <w:suppressAutoHyphens/>
        <w:rPr>
          <w:rFonts w:ascii="Cambria" w:hAnsi="Cambria"/>
          <w:sz w:val="20"/>
          <w:lang w:val="en-US"/>
        </w:rPr>
      </w:pPr>
    </w:p>
    <w:p w:rsidR="001F2B92" w:rsidRDefault="001F2B92" w:rsidP="001F2B92">
      <w:pPr>
        <w:rPr>
          <w:rFonts w:ascii="Cambria" w:hAnsi="Cambria"/>
          <w:sz w:val="20"/>
          <w:lang w:val="en-US"/>
        </w:rPr>
      </w:pPr>
    </w:p>
    <w:p w:rsidR="002C5809" w:rsidRDefault="002C5809" w:rsidP="001F2B92">
      <w:pPr>
        <w:rPr>
          <w:rFonts w:ascii="Cambria" w:hAnsi="Cambria"/>
          <w:sz w:val="20"/>
          <w:lang w:val="en-US"/>
        </w:rPr>
      </w:pPr>
    </w:p>
    <w:p w:rsidR="002C5809" w:rsidRPr="00624C6F" w:rsidRDefault="002C5809" w:rsidP="001F2B92">
      <w:pPr>
        <w:rPr>
          <w:rFonts w:ascii="Cambria" w:hAnsi="Cambria"/>
          <w:b/>
          <w:caps/>
          <w:sz w:val="20"/>
          <w:szCs w:val="20"/>
          <w:lang w:val="en-US"/>
        </w:rPr>
      </w:pPr>
    </w:p>
    <w:p w:rsidR="001F2B92" w:rsidRPr="00027F7F" w:rsidRDefault="00184C62" w:rsidP="006513C9">
      <w:pPr>
        <w:spacing w:line="360" w:lineRule="auto"/>
        <w:ind w:left="5760" w:right="65"/>
        <w:rPr>
          <w:rFonts w:ascii="Cambria" w:hAnsi="Cambria" w:cs="Arial"/>
          <w:sz w:val="20"/>
          <w:szCs w:val="20"/>
          <w:lang w:val="pt-BR"/>
        </w:rPr>
      </w:pPr>
      <w:r w:rsidRPr="00027F7F">
        <w:rPr>
          <w:rFonts w:ascii="Cambria" w:hAnsi="Cambria"/>
          <w:sz w:val="20"/>
          <w:szCs w:val="20"/>
          <w:lang w:val="pt-BR"/>
        </w:rPr>
        <w:t>OEA/</w:t>
      </w:r>
      <w:proofErr w:type="spellStart"/>
      <w:r w:rsidRPr="00027F7F">
        <w:rPr>
          <w:rFonts w:ascii="Cambria" w:hAnsi="Cambria"/>
          <w:sz w:val="20"/>
          <w:szCs w:val="20"/>
          <w:lang w:val="pt-BR"/>
        </w:rPr>
        <w:t>Ser.L</w:t>
      </w:r>
      <w:proofErr w:type="spellEnd"/>
      <w:r w:rsidRPr="00027F7F">
        <w:rPr>
          <w:rFonts w:ascii="Cambria" w:hAnsi="Cambria"/>
          <w:sz w:val="20"/>
          <w:szCs w:val="20"/>
          <w:lang w:val="pt-BR"/>
        </w:rPr>
        <w:t>/V/II</w:t>
      </w:r>
      <w:r w:rsidR="00027F7F" w:rsidRPr="00027F7F">
        <w:rPr>
          <w:rFonts w:ascii="Cambria" w:hAnsi="Cambria"/>
          <w:sz w:val="20"/>
          <w:szCs w:val="20"/>
          <w:lang w:val="pt-BR"/>
        </w:rPr>
        <w:t>.</w:t>
      </w:r>
      <w:r w:rsidR="001F2B92" w:rsidRPr="00027F7F">
        <w:rPr>
          <w:rFonts w:ascii="Cambria" w:hAnsi="Cambria"/>
          <w:sz w:val="20"/>
          <w:szCs w:val="20"/>
          <w:lang w:val="pt-BR"/>
        </w:rPr>
        <w:br/>
      </w:r>
      <w:r w:rsidRPr="00027F7F">
        <w:rPr>
          <w:rFonts w:ascii="Cambria" w:hAnsi="Cambria" w:cs="Arial"/>
          <w:sz w:val="20"/>
          <w:szCs w:val="20"/>
          <w:lang w:val="pt-BR"/>
        </w:rPr>
        <w:t>Doc. 42</w:t>
      </w:r>
      <w:r w:rsidR="006513C9" w:rsidRPr="00027F7F">
        <w:rPr>
          <w:rFonts w:ascii="Cambria" w:hAnsi="Cambria" w:cs="Arial"/>
          <w:sz w:val="20"/>
          <w:szCs w:val="20"/>
          <w:lang w:val="pt-BR"/>
        </w:rPr>
        <w:t>/15</w:t>
      </w:r>
    </w:p>
    <w:p w:rsidR="001F2B92" w:rsidRPr="00624C6F" w:rsidRDefault="001F2B92" w:rsidP="006513C9">
      <w:pPr>
        <w:tabs>
          <w:tab w:val="left" w:pos="6480"/>
        </w:tabs>
        <w:spacing w:line="360" w:lineRule="auto"/>
        <w:ind w:left="5760"/>
        <w:rPr>
          <w:rFonts w:ascii="Cambria" w:hAnsi="Cambria" w:cs="Arial"/>
          <w:sz w:val="20"/>
          <w:szCs w:val="20"/>
          <w:lang w:val="en-US"/>
        </w:rPr>
      </w:pPr>
      <w:r w:rsidRPr="00624C6F">
        <w:rPr>
          <w:rFonts w:ascii="Cambria" w:hAnsi="Cambria" w:cs="Arial"/>
          <w:sz w:val="20"/>
          <w:szCs w:val="20"/>
          <w:lang w:val="en-US"/>
        </w:rPr>
        <w:t>31 December 2015</w:t>
      </w:r>
    </w:p>
    <w:p w:rsidR="001F2B92" w:rsidRPr="00624C6F" w:rsidRDefault="001F2B92" w:rsidP="006513C9">
      <w:pPr>
        <w:tabs>
          <w:tab w:val="left" w:pos="6480"/>
        </w:tabs>
        <w:spacing w:line="360" w:lineRule="auto"/>
        <w:ind w:left="5760"/>
        <w:rPr>
          <w:rFonts w:ascii="Cambria" w:hAnsi="Cambria" w:cs="Arial"/>
          <w:sz w:val="20"/>
          <w:szCs w:val="20"/>
          <w:lang w:val="en-US"/>
        </w:rPr>
      </w:pPr>
      <w:r w:rsidRPr="00624C6F">
        <w:rPr>
          <w:rFonts w:ascii="Cambria" w:hAnsi="Cambria" w:cs="Arial"/>
          <w:sz w:val="20"/>
          <w:szCs w:val="20"/>
          <w:lang w:val="en-US"/>
        </w:rPr>
        <w:t xml:space="preserve">Original: </w:t>
      </w:r>
      <w:r w:rsidR="008953AB">
        <w:rPr>
          <w:rFonts w:ascii="Cambria" w:hAnsi="Cambria" w:cs="Arial"/>
          <w:sz w:val="20"/>
          <w:szCs w:val="20"/>
          <w:lang w:val="en-US"/>
        </w:rPr>
        <w:t>Spanish</w:t>
      </w:r>
    </w:p>
    <w:p w:rsidR="001F2B92" w:rsidRPr="00624C6F" w:rsidRDefault="001F2B92" w:rsidP="001F2B92">
      <w:pPr>
        <w:jc w:val="center"/>
        <w:rPr>
          <w:rFonts w:ascii="Cambria" w:hAnsi="Cambria" w:cs="Arial"/>
          <w:b/>
          <w:bCs/>
          <w:lang w:val="en-US"/>
        </w:rPr>
      </w:pPr>
    </w:p>
    <w:p w:rsidR="001F2B92" w:rsidRPr="00624C6F" w:rsidRDefault="001F2B92" w:rsidP="001F2B92">
      <w:pPr>
        <w:jc w:val="center"/>
        <w:rPr>
          <w:rFonts w:ascii="Cambria" w:hAnsi="Cambria" w:cs="Arial"/>
          <w:b/>
          <w:bCs/>
          <w:lang w:val="en-US"/>
        </w:rPr>
      </w:pPr>
    </w:p>
    <w:p w:rsidR="001F2B92" w:rsidRDefault="001F2B92" w:rsidP="001F2B92">
      <w:pPr>
        <w:jc w:val="center"/>
        <w:rPr>
          <w:rFonts w:ascii="Cambria" w:hAnsi="Cambria" w:cs="Arial"/>
          <w:b/>
          <w:bCs/>
          <w:lang w:val="en-US"/>
        </w:rPr>
      </w:pPr>
    </w:p>
    <w:p w:rsidR="002C5809" w:rsidRPr="00624C6F" w:rsidRDefault="002C5809" w:rsidP="001F2B92">
      <w:pPr>
        <w:jc w:val="center"/>
        <w:rPr>
          <w:rFonts w:ascii="Cambria" w:hAnsi="Cambria" w:cs="Arial"/>
          <w:b/>
          <w:bCs/>
          <w:lang w:val="en-US"/>
        </w:rPr>
      </w:pPr>
    </w:p>
    <w:p w:rsidR="001F2B92" w:rsidRPr="00624C6F" w:rsidRDefault="001F2B92" w:rsidP="001F2B92">
      <w:pPr>
        <w:jc w:val="center"/>
        <w:rPr>
          <w:rFonts w:ascii="Cambria" w:hAnsi="Cambria" w:cs="Arial"/>
          <w:b/>
          <w:bCs/>
          <w:lang w:val="en-US"/>
        </w:rPr>
      </w:pPr>
    </w:p>
    <w:p w:rsidR="001F2B92" w:rsidRPr="00624C6F" w:rsidRDefault="001F2B92" w:rsidP="001F2B92">
      <w:pPr>
        <w:jc w:val="center"/>
        <w:rPr>
          <w:rFonts w:ascii="Cambria" w:hAnsi="Cambria" w:cs="Arial"/>
          <w:b/>
          <w:bCs/>
          <w:lang w:val="en-US"/>
        </w:rPr>
      </w:pPr>
    </w:p>
    <w:p w:rsidR="001F2B92" w:rsidRPr="00624C6F" w:rsidRDefault="001F2B92" w:rsidP="001F2B92">
      <w:pPr>
        <w:tabs>
          <w:tab w:val="left" w:pos="360"/>
        </w:tabs>
        <w:suppressAutoHyphens/>
        <w:jc w:val="center"/>
        <w:rPr>
          <w:rFonts w:ascii="Cambria" w:hAnsi="Cambria"/>
          <w:szCs w:val="22"/>
          <w:lang w:val="en-US"/>
        </w:rPr>
      </w:pPr>
    </w:p>
    <w:p w:rsidR="001F2B92" w:rsidRPr="00624C6F" w:rsidRDefault="001F2B92" w:rsidP="001F2B92">
      <w:pPr>
        <w:tabs>
          <w:tab w:val="left" w:pos="360"/>
        </w:tabs>
        <w:suppressAutoHyphens/>
        <w:jc w:val="center"/>
        <w:rPr>
          <w:rFonts w:ascii="Cambria" w:hAnsi="Cambria"/>
          <w:szCs w:val="22"/>
          <w:lang w:val="en-US"/>
        </w:rPr>
      </w:pPr>
    </w:p>
    <w:p w:rsidR="001F2B92" w:rsidRPr="002C5809" w:rsidRDefault="001F2B92" w:rsidP="001F2B92">
      <w:pPr>
        <w:tabs>
          <w:tab w:val="left" w:pos="360"/>
        </w:tabs>
        <w:suppressAutoHyphens/>
        <w:jc w:val="center"/>
        <w:rPr>
          <w:rFonts w:ascii="Cambria" w:hAnsi="Cambria"/>
          <w:color w:val="595959" w:themeColor="text1" w:themeTint="A6"/>
          <w:szCs w:val="22"/>
          <w:lang w:val="en-US"/>
        </w:rPr>
      </w:pPr>
      <w:r w:rsidRPr="002C5809">
        <w:rPr>
          <w:rFonts w:ascii="Cambria" w:hAnsi="Cambria"/>
          <w:color w:val="595959" w:themeColor="text1" w:themeTint="A6"/>
          <w:szCs w:val="22"/>
          <w:lang w:val="en-US"/>
        </w:rPr>
        <w:t>INTER-AMERICAN COMMISSION ON HUMAN RIGHTS</w:t>
      </w:r>
    </w:p>
    <w:p w:rsidR="001F2B92" w:rsidRPr="00624C6F" w:rsidRDefault="001F2B92" w:rsidP="001F2B92">
      <w:pPr>
        <w:tabs>
          <w:tab w:val="left" w:pos="360"/>
        </w:tabs>
        <w:suppressAutoHyphens/>
        <w:rPr>
          <w:rFonts w:ascii="Cambria" w:hAnsi="Cambria"/>
          <w:sz w:val="20"/>
          <w:lang w:val="en-US"/>
        </w:rPr>
      </w:pPr>
    </w:p>
    <w:p w:rsidR="001F2B92" w:rsidRPr="00624C6F" w:rsidRDefault="001F2B92" w:rsidP="001F2B92">
      <w:pPr>
        <w:jc w:val="center"/>
        <w:rPr>
          <w:rFonts w:ascii="Cambria" w:hAnsi="Cambria"/>
          <w:sz w:val="52"/>
          <w:szCs w:val="52"/>
          <w:lang w:val="en-US"/>
        </w:rPr>
      </w:pPr>
      <w:r w:rsidRPr="00624C6F">
        <w:rPr>
          <w:rFonts w:ascii="Cambria" w:hAnsi="Cambria"/>
          <w:sz w:val="52"/>
          <w:szCs w:val="52"/>
          <w:lang w:val="en-US"/>
        </w:rPr>
        <w:t xml:space="preserve">Situation of Human Rights </w:t>
      </w:r>
      <w:r w:rsidRPr="00624C6F">
        <w:rPr>
          <w:rFonts w:ascii="Cambria" w:hAnsi="Cambria"/>
          <w:sz w:val="52"/>
          <w:szCs w:val="52"/>
          <w:lang w:val="en-US"/>
        </w:rPr>
        <w:br/>
        <w:t xml:space="preserve">in Honduras </w:t>
      </w: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22"/>
          <w:szCs w:val="22"/>
          <w:lang w:val="en-US" w:eastAsia="es-ES"/>
        </w:rPr>
      </w:pPr>
      <w:r w:rsidRPr="00624C6F">
        <w:rPr>
          <w:rFonts w:ascii="Cambria" w:hAnsi="Cambria" w:cs="Arial"/>
          <w:sz w:val="22"/>
          <w:szCs w:val="22"/>
          <w:lang w:val="en-US" w:eastAsia="es-ES"/>
        </w:rPr>
        <w:t>2015</w:t>
      </w:r>
    </w:p>
    <w:p w:rsidR="001F2B92" w:rsidRPr="00624C6F" w:rsidRDefault="001F2B92" w:rsidP="001F2B92">
      <w:pPr>
        <w:jc w:val="center"/>
        <w:rPr>
          <w:rFonts w:ascii="Cambria" w:hAnsi="Cambria"/>
          <w:sz w:val="18"/>
          <w:szCs w:val="18"/>
          <w:lang w:val="en-US"/>
        </w:rPr>
      </w:pPr>
      <w:r w:rsidRPr="00624C6F">
        <w:rPr>
          <w:rFonts w:ascii="Cambria" w:hAnsi="Cambria" w:cs="Arial"/>
          <w:sz w:val="22"/>
          <w:szCs w:val="22"/>
          <w:lang w:val="en-US" w:eastAsia="es-ES"/>
        </w:rPr>
        <w:t>www.</w:t>
      </w:r>
      <w:r w:rsidR="00B06B98">
        <w:rPr>
          <w:rFonts w:ascii="Cambria" w:hAnsi="Cambria" w:cs="Arial"/>
          <w:sz w:val="22"/>
          <w:szCs w:val="22"/>
          <w:lang w:val="en-US" w:eastAsia="es-ES"/>
        </w:rPr>
        <w:t>iachr</w:t>
      </w:r>
      <w:r w:rsidRPr="00624C6F">
        <w:rPr>
          <w:rFonts w:ascii="Cambria" w:hAnsi="Cambria" w:cs="Arial"/>
          <w:sz w:val="22"/>
          <w:szCs w:val="22"/>
          <w:lang w:val="en-US" w:eastAsia="es-ES"/>
        </w:rPr>
        <w:t>.org</w:t>
      </w:r>
    </w:p>
    <w:tbl>
      <w:tblPr>
        <w:tblW w:w="6631" w:type="dxa"/>
        <w:jc w:val="center"/>
        <w:shd w:val="clear" w:color="auto" w:fill="DDD9C3"/>
        <w:tblLook w:val="01E0" w:firstRow="1" w:lastRow="1" w:firstColumn="1" w:lastColumn="1" w:noHBand="0" w:noVBand="0"/>
      </w:tblPr>
      <w:tblGrid>
        <w:gridCol w:w="6631"/>
      </w:tblGrid>
      <w:tr w:rsidR="001F2B92" w:rsidRPr="00E555D6" w:rsidTr="00184C62">
        <w:trPr>
          <w:trHeight w:val="2687"/>
          <w:jc w:val="center"/>
        </w:trPr>
        <w:tc>
          <w:tcPr>
            <w:tcW w:w="6631" w:type="dxa"/>
            <w:shd w:val="clear" w:color="auto" w:fill="D9D9D9" w:themeFill="background1" w:themeFillShade="D9"/>
          </w:tcPr>
          <w:p w:rsidR="001F2B92" w:rsidRPr="00624C6F" w:rsidRDefault="001F2B92" w:rsidP="001F2B92">
            <w:pPr>
              <w:pStyle w:val="Ttulo6"/>
              <w:spacing w:before="0" w:after="0"/>
              <w:jc w:val="center"/>
              <w:rPr>
                <w:rFonts w:ascii="Cambria" w:hAnsi="Cambria"/>
                <w:sz w:val="18"/>
                <w:szCs w:val="18"/>
                <w:lang w:val="en-US"/>
              </w:rPr>
            </w:pPr>
          </w:p>
          <w:p w:rsidR="001F2B92" w:rsidRPr="00624C6F" w:rsidRDefault="001F2B92" w:rsidP="00184C62">
            <w:pPr>
              <w:pStyle w:val="Ttulo6"/>
              <w:spacing w:before="0" w:after="240"/>
              <w:ind w:left="112" w:right="183"/>
              <w:jc w:val="center"/>
              <w:rPr>
                <w:rFonts w:ascii="Cambria" w:hAnsi="Cambria"/>
                <w:sz w:val="18"/>
                <w:szCs w:val="18"/>
                <w:lang w:val="en-US"/>
              </w:rPr>
            </w:pPr>
            <w:r w:rsidRPr="00624C6F">
              <w:rPr>
                <w:rFonts w:ascii="Cambria" w:hAnsi="Cambria"/>
                <w:sz w:val="18"/>
                <w:szCs w:val="18"/>
                <w:lang w:val="en-US"/>
              </w:rPr>
              <w:t>OAS Cataloging-in-Publication Data</w:t>
            </w:r>
          </w:p>
          <w:p w:rsidR="005601EA" w:rsidRPr="005601EA" w:rsidRDefault="005601EA" w:rsidP="005601EA">
            <w:pPr>
              <w:spacing w:after="240"/>
              <w:ind w:left="112" w:right="183"/>
              <w:rPr>
                <w:rFonts w:ascii="Cambria" w:hAnsi="Cambria"/>
                <w:sz w:val="18"/>
                <w:szCs w:val="18"/>
                <w:lang w:val="en-US"/>
              </w:rPr>
            </w:pPr>
            <w:r w:rsidRPr="005601EA">
              <w:rPr>
                <w:rFonts w:ascii="Cambria" w:hAnsi="Cambria"/>
                <w:sz w:val="18"/>
                <w:szCs w:val="18"/>
                <w:lang w:val="en-US"/>
              </w:rPr>
              <w:t>Inter-American Commission on Human Rights.</w:t>
            </w:r>
          </w:p>
          <w:p w:rsidR="005601EA" w:rsidRPr="005601EA" w:rsidRDefault="005601EA" w:rsidP="005601EA">
            <w:pPr>
              <w:spacing w:after="240"/>
              <w:ind w:left="112" w:right="183"/>
              <w:rPr>
                <w:rFonts w:ascii="Cambria" w:hAnsi="Cambria"/>
                <w:sz w:val="18"/>
                <w:szCs w:val="18"/>
                <w:lang w:val="en-US"/>
              </w:rPr>
            </w:pPr>
            <w:r>
              <w:rPr>
                <w:rFonts w:ascii="Cambria" w:hAnsi="Cambria"/>
                <w:sz w:val="18"/>
                <w:szCs w:val="18"/>
                <w:lang w:val="en-US"/>
              </w:rPr>
              <w:t xml:space="preserve">                       </w:t>
            </w:r>
            <w:r w:rsidRPr="005601EA">
              <w:rPr>
                <w:rFonts w:ascii="Cambria" w:hAnsi="Cambria"/>
                <w:sz w:val="18"/>
                <w:szCs w:val="18"/>
                <w:lang w:val="en-US"/>
              </w:rPr>
              <w:t>Situation of human rights in Honduras.</w:t>
            </w:r>
          </w:p>
          <w:p w:rsidR="005601EA" w:rsidRPr="005601EA" w:rsidRDefault="005601EA" w:rsidP="005601EA">
            <w:pPr>
              <w:spacing w:after="240"/>
              <w:ind w:left="112" w:right="183"/>
              <w:rPr>
                <w:rFonts w:ascii="Cambria" w:hAnsi="Cambria"/>
                <w:sz w:val="18"/>
                <w:szCs w:val="18"/>
                <w:lang w:val="en-US"/>
              </w:rPr>
            </w:pPr>
            <w:proofErr w:type="gramStart"/>
            <w:r w:rsidRPr="005601EA">
              <w:rPr>
                <w:rFonts w:ascii="Cambria" w:hAnsi="Cambria"/>
                <w:sz w:val="18"/>
                <w:szCs w:val="18"/>
                <w:lang w:val="en-US"/>
              </w:rPr>
              <w:t>p. ;</w:t>
            </w:r>
            <w:proofErr w:type="gramEnd"/>
            <w:r w:rsidRPr="005601EA">
              <w:rPr>
                <w:rFonts w:ascii="Cambria" w:hAnsi="Cambria"/>
                <w:sz w:val="18"/>
                <w:szCs w:val="18"/>
                <w:lang w:val="en-US"/>
              </w:rPr>
              <w:t xml:space="preserve"> cm.  (OAS. Official </w:t>
            </w:r>
            <w:proofErr w:type="gramStart"/>
            <w:r w:rsidRPr="005601EA">
              <w:rPr>
                <w:rFonts w:ascii="Cambria" w:hAnsi="Cambria"/>
                <w:sz w:val="18"/>
                <w:szCs w:val="18"/>
                <w:lang w:val="en-US"/>
              </w:rPr>
              <w:t>records ;</w:t>
            </w:r>
            <w:proofErr w:type="gramEnd"/>
            <w:r w:rsidRPr="005601EA">
              <w:rPr>
                <w:rFonts w:ascii="Cambria" w:hAnsi="Cambria"/>
                <w:sz w:val="18"/>
                <w:szCs w:val="18"/>
                <w:lang w:val="en-US"/>
              </w:rPr>
              <w:t xml:space="preserve"> OEA/</w:t>
            </w:r>
            <w:proofErr w:type="spellStart"/>
            <w:r w:rsidRPr="005601EA">
              <w:rPr>
                <w:rFonts w:ascii="Cambria" w:hAnsi="Cambria"/>
                <w:sz w:val="18"/>
                <w:szCs w:val="18"/>
                <w:lang w:val="en-US"/>
              </w:rPr>
              <w:t>Ser.L</w:t>
            </w:r>
            <w:proofErr w:type="spellEnd"/>
            <w:r w:rsidRPr="005601EA">
              <w:rPr>
                <w:rFonts w:ascii="Cambria" w:hAnsi="Cambria"/>
                <w:sz w:val="18"/>
                <w:szCs w:val="18"/>
                <w:lang w:val="en-US"/>
              </w:rPr>
              <w:t>/V/II)</w:t>
            </w:r>
          </w:p>
          <w:p w:rsidR="005601EA" w:rsidRPr="005601EA" w:rsidRDefault="005601EA" w:rsidP="005601EA">
            <w:pPr>
              <w:spacing w:after="240"/>
              <w:ind w:left="112" w:right="183"/>
              <w:rPr>
                <w:rFonts w:ascii="Cambria" w:hAnsi="Cambria"/>
                <w:sz w:val="18"/>
                <w:szCs w:val="18"/>
                <w:lang w:val="en-US"/>
              </w:rPr>
            </w:pPr>
            <w:r w:rsidRPr="005601EA">
              <w:rPr>
                <w:rFonts w:ascii="Cambria" w:hAnsi="Cambria"/>
                <w:sz w:val="18"/>
                <w:szCs w:val="18"/>
                <w:lang w:val="en-US"/>
              </w:rPr>
              <w:t>ISBN 978-0-8270-6527-7</w:t>
            </w:r>
          </w:p>
          <w:p w:rsidR="005601EA" w:rsidRPr="005601EA" w:rsidRDefault="005601EA" w:rsidP="005601EA">
            <w:pPr>
              <w:spacing w:after="240"/>
              <w:ind w:left="112" w:right="183"/>
              <w:rPr>
                <w:rFonts w:ascii="Cambria" w:hAnsi="Cambria"/>
                <w:sz w:val="18"/>
                <w:szCs w:val="18"/>
                <w:lang w:val="en-US"/>
              </w:rPr>
            </w:pPr>
            <w:r w:rsidRPr="005601EA">
              <w:rPr>
                <w:rFonts w:ascii="Cambria" w:hAnsi="Cambria"/>
                <w:sz w:val="18"/>
                <w:szCs w:val="18"/>
                <w:lang w:val="en-US"/>
              </w:rPr>
              <w:t xml:space="preserve">1. Human rights--Honduras. 2. Civil rights--Honduras.  I. Title. II. Series. </w:t>
            </w:r>
          </w:p>
          <w:p w:rsidR="001F2B92" w:rsidRPr="00E555D6" w:rsidRDefault="005601EA" w:rsidP="005601EA">
            <w:pPr>
              <w:ind w:left="360" w:right="446"/>
              <w:jc w:val="right"/>
              <w:rPr>
                <w:rFonts w:ascii="Cambria" w:hAnsi="Cambria"/>
                <w:b/>
                <w:sz w:val="18"/>
                <w:szCs w:val="18"/>
                <w:lang w:val="en-US"/>
              </w:rPr>
            </w:pPr>
            <w:r w:rsidRPr="00E555D6">
              <w:rPr>
                <w:rFonts w:ascii="Cambria" w:hAnsi="Cambria"/>
                <w:sz w:val="18"/>
                <w:szCs w:val="18"/>
                <w:lang w:val="en-US"/>
              </w:rPr>
              <w:t>OEA/</w:t>
            </w:r>
            <w:proofErr w:type="spellStart"/>
            <w:r w:rsidRPr="00E555D6">
              <w:rPr>
                <w:rFonts w:ascii="Cambria" w:hAnsi="Cambria"/>
                <w:sz w:val="18"/>
                <w:szCs w:val="18"/>
                <w:lang w:val="en-US"/>
              </w:rPr>
              <w:t>Ser.L</w:t>
            </w:r>
            <w:proofErr w:type="spellEnd"/>
            <w:r w:rsidRPr="00E555D6">
              <w:rPr>
                <w:rFonts w:ascii="Cambria" w:hAnsi="Cambria"/>
                <w:sz w:val="18"/>
                <w:szCs w:val="18"/>
                <w:lang w:val="en-US"/>
              </w:rPr>
              <w:t>/V/II. Doc.42/15</w:t>
            </w:r>
          </w:p>
        </w:tc>
      </w:tr>
    </w:tbl>
    <w:p w:rsidR="001F2B92" w:rsidRPr="00E555D6" w:rsidRDefault="001F2B92" w:rsidP="001F2B92">
      <w:pPr>
        <w:jc w:val="center"/>
        <w:rPr>
          <w:rFonts w:ascii="Cambria" w:hAnsi="Cambria"/>
          <w:sz w:val="18"/>
          <w:szCs w:val="18"/>
          <w:lang w:val="en-US"/>
        </w:rPr>
        <w:sectPr w:rsidR="001F2B92" w:rsidRPr="00E555D6" w:rsidSect="00B06B98">
          <w:headerReference w:type="even" r:id="rId10"/>
          <w:headerReference w:type="default" r:id="rId11"/>
          <w:footerReference w:type="even" r:id="rId12"/>
          <w:footerReference w:type="default" r:id="rId13"/>
          <w:headerReference w:type="first" r:id="rId14"/>
          <w:footerReference w:type="first" r:id="rId15"/>
          <w:type w:val="oddPage"/>
          <w:pgSz w:w="10080" w:h="14400" w:code="1"/>
          <w:pgMar w:top="1152" w:right="1152" w:bottom="1152" w:left="1296" w:header="720" w:footer="720" w:gutter="0"/>
          <w:cols w:space="720"/>
          <w:vAlign w:val="center"/>
          <w:titlePg/>
          <w:docGrid w:linePitch="326"/>
        </w:sectPr>
      </w:pPr>
    </w:p>
    <w:p w:rsidR="00184C62" w:rsidRPr="00E555D6" w:rsidRDefault="00184C62" w:rsidP="001F2B92">
      <w:pPr>
        <w:jc w:val="center"/>
        <w:rPr>
          <w:rFonts w:ascii="Cambria" w:hAnsi="Cambria"/>
          <w:b/>
          <w:sz w:val="28"/>
          <w:lang w:val="en-US"/>
        </w:rPr>
      </w:pPr>
    </w:p>
    <w:p w:rsidR="001F2B92" w:rsidRPr="00624C6F" w:rsidRDefault="001F2B92" w:rsidP="001F2B92">
      <w:pPr>
        <w:jc w:val="center"/>
        <w:rPr>
          <w:rFonts w:ascii="Cambria" w:hAnsi="Cambria"/>
          <w:b/>
          <w:sz w:val="28"/>
          <w:lang w:val="en-US"/>
        </w:rPr>
      </w:pPr>
      <w:r w:rsidRPr="00624C6F">
        <w:rPr>
          <w:rFonts w:ascii="Cambria" w:hAnsi="Cambria"/>
          <w:b/>
          <w:sz w:val="28"/>
          <w:lang w:val="en-US"/>
        </w:rPr>
        <w:t>INTER-AMERICAN COMMISSION ON HUMAN RIGHTS</w:t>
      </w:r>
    </w:p>
    <w:p w:rsidR="001F2B92" w:rsidRPr="00624C6F" w:rsidRDefault="001F2B92" w:rsidP="001F2B92">
      <w:pPr>
        <w:tabs>
          <w:tab w:val="center" w:pos="4680"/>
        </w:tabs>
        <w:rPr>
          <w:rFonts w:ascii="Cambria" w:hAnsi="Cambria"/>
          <w:b/>
          <w:bCs/>
          <w:lang w:val="en-US"/>
        </w:rPr>
      </w:pPr>
    </w:p>
    <w:p w:rsidR="001F2B92" w:rsidRDefault="001F2B92" w:rsidP="001F2B92">
      <w:pPr>
        <w:tabs>
          <w:tab w:val="center" w:pos="4680"/>
        </w:tabs>
        <w:rPr>
          <w:rFonts w:ascii="Cambria" w:hAnsi="Cambria"/>
          <w:b/>
          <w:bCs/>
          <w:lang w:val="en-US"/>
        </w:rPr>
      </w:pPr>
    </w:p>
    <w:p w:rsidR="00B06B98" w:rsidRDefault="00B06B98" w:rsidP="001F2B92">
      <w:pPr>
        <w:tabs>
          <w:tab w:val="center" w:pos="4680"/>
        </w:tabs>
        <w:rPr>
          <w:rFonts w:ascii="Cambria" w:hAnsi="Cambria"/>
          <w:b/>
          <w:bCs/>
          <w:lang w:val="en-US"/>
        </w:rPr>
      </w:pPr>
    </w:p>
    <w:p w:rsidR="00B06B98" w:rsidRPr="00624C6F" w:rsidRDefault="00B06B98" w:rsidP="001F2B92">
      <w:pPr>
        <w:tabs>
          <w:tab w:val="center" w:pos="4680"/>
        </w:tabs>
        <w:rPr>
          <w:rFonts w:ascii="Cambria" w:hAnsi="Cambria"/>
          <w:b/>
          <w:bCs/>
          <w:lang w:val="en-US"/>
        </w:rPr>
      </w:pPr>
    </w:p>
    <w:p w:rsidR="001F2B92" w:rsidRPr="00624C6F" w:rsidRDefault="001F2B92" w:rsidP="001F2B92">
      <w:pPr>
        <w:tabs>
          <w:tab w:val="center" w:pos="4680"/>
        </w:tabs>
        <w:rPr>
          <w:rFonts w:ascii="Cambria" w:hAnsi="Cambria"/>
          <w:b/>
          <w:bCs/>
          <w:lang w:val="en-US"/>
        </w:rPr>
      </w:pPr>
    </w:p>
    <w:p w:rsidR="001F2B92" w:rsidRPr="009F1BDF" w:rsidRDefault="001F2B92" w:rsidP="00B06B98">
      <w:pPr>
        <w:pBdr>
          <w:bottom w:val="single" w:sz="4" w:space="1" w:color="808080"/>
        </w:pBdr>
        <w:rPr>
          <w:rFonts w:asciiTheme="majorHAnsi" w:hAnsiTheme="majorHAnsi"/>
          <w:b/>
          <w:bCs/>
          <w:color w:val="808080"/>
          <w:sz w:val="28"/>
          <w:szCs w:val="28"/>
          <w:lang w:val="fr-CA"/>
        </w:rPr>
      </w:pPr>
      <w:proofErr w:type="spellStart"/>
      <w:r w:rsidRPr="009F1BDF">
        <w:rPr>
          <w:rFonts w:asciiTheme="majorHAnsi" w:hAnsiTheme="majorHAnsi"/>
          <w:b/>
          <w:bCs/>
          <w:color w:val="808080"/>
          <w:sz w:val="28"/>
          <w:szCs w:val="28"/>
          <w:lang w:val="fr-CA"/>
        </w:rPr>
        <w:t>Members</w:t>
      </w:r>
      <w:proofErr w:type="spellEnd"/>
    </w:p>
    <w:p w:rsidR="001F2B92" w:rsidRPr="009F1BDF" w:rsidRDefault="001F2B92" w:rsidP="001F2B92">
      <w:pPr>
        <w:tabs>
          <w:tab w:val="left" w:pos="0"/>
        </w:tabs>
        <w:rPr>
          <w:rFonts w:ascii="Cambria" w:hAnsi="Cambria"/>
          <w:sz w:val="20"/>
          <w:szCs w:val="20"/>
          <w:lang w:val="fr-CA"/>
        </w:rPr>
      </w:pPr>
    </w:p>
    <w:p w:rsidR="001F2B92" w:rsidRPr="009F1BDF" w:rsidRDefault="001F2B92" w:rsidP="001F2B92">
      <w:pPr>
        <w:tabs>
          <w:tab w:val="left" w:pos="0"/>
        </w:tabs>
        <w:rPr>
          <w:rFonts w:ascii="Cambria" w:hAnsi="Cambria"/>
          <w:sz w:val="20"/>
          <w:szCs w:val="20"/>
          <w:lang w:val="fr-CA"/>
        </w:rPr>
      </w:pPr>
    </w:p>
    <w:p w:rsidR="001F2B92" w:rsidRPr="009F1BDF" w:rsidRDefault="001F2B92" w:rsidP="001F2B92">
      <w:pPr>
        <w:tabs>
          <w:tab w:val="left" w:pos="0"/>
        </w:tabs>
        <w:rPr>
          <w:rFonts w:ascii="Cambria" w:hAnsi="Cambria"/>
          <w:sz w:val="22"/>
          <w:szCs w:val="20"/>
          <w:lang w:val="fr-CA"/>
        </w:rPr>
      </w:pPr>
      <w:r w:rsidRPr="009F1BDF">
        <w:rPr>
          <w:rFonts w:ascii="Cambria" w:hAnsi="Cambria"/>
          <w:sz w:val="22"/>
          <w:szCs w:val="20"/>
          <w:lang w:val="fr-CA"/>
        </w:rPr>
        <w:t>Rose-Marie Belle Antoine</w:t>
      </w:r>
    </w:p>
    <w:p w:rsidR="001F2B92" w:rsidRPr="009F1BDF" w:rsidRDefault="001F2B92" w:rsidP="001F2B92">
      <w:pPr>
        <w:tabs>
          <w:tab w:val="left" w:pos="0"/>
        </w:tabs>
        <w:rPr>
          <w:rFonts w:ascii="Cambria" w:hAnsi="Cambria"/>
          <w:sz w:val="22"/>
          <w:szCs w:val="20"/>
          <w:lang w:val="fr-CA"/>
        </w:rPr>
      </w:pPr>
    </w:p>
    <w:p w:rsidR="001F2B92" w:rsidRPr="009F1BDF" w:rsidRDefault="001F2B92" w:rsidP="001F2B92">
      <w:pPr>
        <w:tabs>
          <w:tab w:val="left" w:pos="0"/>
        </w:tabs>
        <w:rPr>
          <w:rFonts w:ascii="Cambria" w:hAnsi="Cambria"/>
          <w:sz w:val="22"/>
          <w:szCs w:val="20"/>
          <w:lang w:val="fr-CA"/>
        </w:rPr>
      </w:pPr>
      <w:r w:rsidRPr="009F1BDF">
        <w:rPr>
          <w:rFonts w:ascii="Cambria" w:hAnsi="Cambria"/>
          <w:sz w:val="22"/>
          <w:szCs w:val="20"/>
          <w:lang w:val="fr-CA"/>
        </w:rPr>
        <w:t xml:space="preserve">James L. </w:t>
      </w:r>
      <w:proofErr w:type="spellStart"/>
      <w:r w:rsidRPr="009F1BDF">
        <w:rPr>
          <w:rFonts w:ascii="Cambria" w:hAnsi="Cambria"/>
          <w:sz w:val="22"/>
          <w:szCs w:val="20"/>
          <w:lang w:val="fr-CA"/>
        </w:rPr>
        <w:t>Cavallaro</w:t>
      </w:r>
      <w:proofErr w:type="spellEnd"/>
    </w:p>
    <w:p w:rsidR="001F2B92" w:rsidRPr="009F1BDF" w:rsidRDefault="001F2B92" w:rsidP="001F2B92">
      <w:pPr>
        <w:tabs>
          <w:tab w:val="left" w:pos="0"/>
        </w:tabs>
        <w:rPr>
          <w:rFonts w:ascii="Cambria" w:hAnsi="Cambria"/>
          <w:sz w:val="22"/>
          <w:szCs w:val="20"/>
          <w:lang w:val="fr-CA"/>
        </w:rPr>
      </w:pPr>
    </w:p>
    <w:p w:rsidR="001F2B92" w:rsidRPr="009F1BDF" w:rsidRDefault="001F2B92" w:rsidP="001F2B92">
      <w:pPr>
        <w:tabs>
          <w:tab w:val="left" w:pos="0"/>
        </w:tabs>
        <w:rPr>
          <w:rFonts w:ascii="Cambria" w:hAnsi="Cambria"/>
          <w:sz w:val="22"/>
          <w:szCs w:val="20"/>
          <w:lang w:val="es-ES"/>
        </w:rPr>
      </w:pPr>
      <w:r w:rsidRPr="009F1BDF">
        <w:rPr>
          <w:rFonts w:ascii="Cambria" w:hAnsi="Cambria"/>
          <w:sz w:val="22"/>
          <w:szCs w:val="20"/>
          <w:lang w:val="es-ES"/>
        </w:rPr>
        <w:t>José de Jesús Orozco Henríquez</w:t>
      </w:r>
    </w:p>
    <w:p w:rsidR="001F2B92" w:rsidRPr="009F1BDF" w:rsidRDefault="001F2B92" w:rsidP="001F2B92">
      <w:pPr>
        <w:tabs>
          <w:tab w:val="left" w:pos="0"/>
        </w:tabs>
        <w:rPr>
          <w:rFonts w:ascii="Cambria" w:hAnsi="Cambria"/>
          <w:sz w:val="22"/>
          <w:szCs w:val="20"/>
          <w:lang w:val="es-ES"/>
        </w:rPr>
      </w:pPr>
    </w:p>
    <w:p w:rsidR="001F2B92" w:rsidRPr="009F1BDF" w:rsidRDefault="001F2B92" w:rsidP="001F2B92">
      <w:pPr>
        <w:tabs>
          <w:tab w:val="left" w:pos="0"/>
        </w:tabs>
        <w:rPr>
          <w:rFonts w:ascii="Cambria" w:hAnsi="Cambria"/>
          <w:sz w:val="22"/>
          <w:szCs w:val="20"/>
          <w:lang w:val="es-ES"/>
        </w:rPr>
      </w:pPr>
      <w:r w:rsidRPr="009F1BDF">
        <w:rPr>
          <w:rFonts w:ascii="Cambria" w:hAnsi="Cambria"/>
          <w:sz w:val="22"/>
          <w:szCs w:val="20"/>
          <w:lang w:val="es-ES"/>
        </w:rPr>
        <w:t>Felipe González</w:t>
      </w:r>
    </w:p>
    <w:p w:rsidR="001F2B92" w:rsidRPr="009F1BDF" w:rsidRDefault="001F2B92" w:rsidP="001F2B92">
      <w:pPr>
        <w:tabs>
          <w:tab w:val="left" w:pos="0"/>
        </w:tabs>
        <w:rPr>
          <w:rFonts w:ascii="Cambria" w:hAnsi="Cambria"/>
          <w:sz w:val="22"/>
          <w:szCs w:val="20"/>
          <w:lang w:val="es-ES"/>
        </w:rPr>
      </w:pPr>
    </w:p>
    <w:p w:rsidR="001F2B92" w:rsidRPr="009F1BDF" w:rsidRDefault="001F2B92" w:rsidP="001F2B92">
      <w:pPr>
        <w:tabs>
          <w:tab w:val="left" w:pos="0"/>
        </w:tabs>
        <w:rPr>
          <w:rFonts w:ascii="Cambria" w:hAnsi="Cambria"/>
          <w:sz w:val="22"/>
          <w:szCs w:val="20"/>
          <w:lang w:val="es-ES"/>
        </w:rPr>
      </w:pPr>
      <w:r w:rsidRPr="009F1BDF">
        <w:rPr>
          <w:rFonts w:ascii="Cambria" w:hAnsi="Cambria"/>
          <w:sz w:val="22"/>
          <w:szCs w:val="20"/>
          <w:lang w:val="es-ES"/>
        </w:rPr>
        <w:t>Tracy Robinson</w:t>
      </w:r>
    </w:p>
    <w:p w:rsidR="001F2B92" w:rsidRPr="009F1BDF" w:rsidRDefault="001F2B92" w:rsidP="001F2B92">
      <w:pPr>
        <w:tabs>
          <w:tab w:val="left" w:pos="0"/>
        </w:tabs>
        <w:rPr>
          <w:rFonts w:ascii="Cambria" w:hAnsi="Cambria"/>
          <w:sz w:val="22"/>
          <w:szCs w:val="20"/>
          <w:lang w:val="es-ES"/>
        </w:rPr>
      </w:pPr>
    </w:p>
    <w:p w:rsidR="001F2B92" w:rsidRPr="009F1BDF" w:rsidRDefault="001F2B92" w:rsidP="001F2B92">
      <w:pPr>
        <w:tabs>
          <w:tab w:val="left" w:pos="0"/>
        </w:tabs>
        <w:rPr>
          <w:rFonts w:ascii="Cambria" w:hAnsi="Cambria"/>
          <w:sz w:val="22"/>
          <w:szCs w:val="20"/>
          <w:lang w:val="es-ES"/>
        </w:rPr>
      </w:pPr>
      <w:r w:rsidRPr="009F1BDF">
        <w:rPr>
          <w:rFonts w:ascii="Cambria" w:hAnsi="Cambria"/>
          <w:sz w:val="22"/>
          <w:szCs w:val="20"/>
          <w:lang w:val="es-ES"/>
        </w:rPr>
        <w:t>Rosa María Ortiz</w:t>
      </w:r>
    </w:p>
    <w:p w:rsidR="001F2B92" w:rsidRPr="009F1BDF" w:rsidRDefault="001F2B92" w:rsidP="001F2B92">
      <w:pPr>
        <w:tabs>
          <w:tab w:val="left" w:pos="0"/>
        </w:tabs>
        <w:rPr>
          <w:rFonts w:ascii="Cambria" w:hAnsi="Cambria"/>
          <w:sz w:val="22"/>
          <w:szCs w:val="20"/>
          <w:lang w:val="es-ES"/>
        </w:rPr>
      </w:pPr>
    </w:p>
    <w:p w:rsidR="001F2B92" w:rsidRPr="009F1BDF" w:rsidRDefault="001F2B92" w:rsidP="001F2B92">
      <w:pPr>
        <w:tabs>
          <w:tab w:val="left" w:pos="0"/>
        </w:tabs>
        <w:rPr>
          <w:rFonts w:ascii="Cambria" w:hAnsi="Cambria"/>
          <w:sz w:val="22"/>
          <w:szCs w:val="20"/>
          <w:lang w:val="es-ES"/>
        </w:rPr>
      </w:pPr>
      <w:r w:rsidRPr="009F1BDF">
        <w:rPr>
          <w:rFonts w:ascii="Cambria" w:hAnsi="Cambria"/>
          <w:sz w:val="22"/>
          <w:szCs w:val="20"/>
          <w:lang w:val="es-ES"/>
        </w:rPr>
        <w:t xml:space="preserve">Paulo </w:t>
      </w:r>
      <w:proofErr w:type="spellStart"/>
      <w:r w:rsidRPr="009F1BDF">
        <w:rPr>
          <w:rFonts w:ascii="Cambria" w:hAnsi="Cambria"/>
          <w:sz w:val="22"/>
          <w:szCs w:val="20"/>
          <w:lang w:val="es-ES"/>
        </w:rPr>
        <w:t>Vannuchi</w:t>
      </w:r>
      <w:proofErr w:type="spellEnd"/>
    </w:p>
    <w:p w:rsidR="001F2B92" w:rsidRPr="009F1BDF" w:rsidRDefault="001F2B92" w:rsidP="001F2B92">
      <w:pPr>
        <w:tabs>
          <w:tab w:val="left" w:pos="0"/>
        </w:tabs>
        <w:rPr>
          <w:rFonts w:ascii="Cambria" w:hAnsi="Cambria"/>
          <w:sz w:val="20"/>
          <w:szCs w:val="20"/>
          <w:lang w:val="es-ES"/>
        </w:rPr>
      </w:pPr>
    </w:p>
    <w:p w:rsidR="001F2B92" w:rsidRPr="009F1BDF" w:rsidRDefault="001F2B92" w:rsidP="001F2B92">
      <w:pPr>
        <w:tabs>
          <w:tab w:val="left" w:pos="0"/>
        </w:tabs>
        <w:rPr>
          <w:rFonts w:ascii="Cambria" w:hAnsi="Cambria"/>
          <w:sz w:val="20"/>
          <w:szCs w:val="20"/>
          <w:lang w:val="es-ES"/>
        </w:rPr>
      </w:pPr>
    </w:p>
    <w:p w:rsidR="001F2B92" w:rsidRPr="009F1BDF" w:rsidRDefault="001F2B92" w:rsidP="00B06B98">
      <w:pPr>
        <w:pBdr>
          <w:bottom w:val="single" w:sz="4" w:space="1" w:color="808080"/>
        </w:pBdr>
        <w:rPr>
          <w:rFonts w:asciiTheme="majorHAnsi" w:hAnsiTheme="majorHAnsi"/>
          <w:b/>
          <w:bCs/>
          <w:color w:val="808080"/>
          <w:sz w:val="28"/>
          <w:szCs w:val="28"/>
          <w:lang w:val="pt-BR"/>
        </w:rPr>
      </w:pPr>
      <w:proofErr w:type="spellStart"/>
      <w:r w:rsidRPr="009F1BDF">
        <w:rPr>
          <w:rFonts w:asciiTheme="majorHAnsi" w:hAnsiTheme="majorHAnsi"/>
          <w:b/>
          <w:bCs/>
          <w:color w:val="808080"/>
          <w:sz w:val="28"/>
          <w:szCs w:val="28"/>
          <w:lang w:val="pt-BR"/>
        </w:rPr>
        <w:t>Executive</w:t>
      </w:r>
      <w:proofErr w:type="spellEnd"/>
      <w:r w:rsidRPr="009F1BDF">
        <w:rPr>
          <w:rFonts w:asciiTheme="majorHAnsi" w:hAnsiTheme="majorHAnsi"/>
          <w:b/>
          <w:bCs/>
          <w:color w:val="808080"/>
          <w:sz w:val="28"/>
          <w:szCs w:val="28"/>
          <w:lang w:val="pt-BR"/>
        </w:rPr>
        <w:t xml:space="preserve"> </w:t>
      </w:r>
      <w:proofErr w:type="spellStart"/>
      <w:r w:rsidRPr="009F1BDF">
        <w:rPr>
          <w:rFonts w:asciiTheme="majorHAnsi" w:hAnsiTheme="majorHAnsi"/>
          <w:b/>
          <w:bCs/>
          <w:color w:val="808080"/>
          <w:sz w:val="28"/>
          <w:szCs w:val="28"/>
          <w:lang w:val="pt-BR"/>
        </w:rPr>
        <w:t>Secretary</w:t>
      </w:r>
      <w:proofErr w:type="spellEnd"/>
    </w:p>
    <w:p w:rsidR="001F2B92" w:rsidRPr="009F1BDF" w:rsidRDefault="001F2B92" w:rsidP="001F2B92">
      <w:pPr>
        <w:rPr>
          <w:rFonts w:ascii="Cambria" w:hAnsi="Cambria"/>
          <w:bCs/>
          <w:sz w:val="20"/>
          <w:szCs w:val="20"/>
          <w:lang w:val="pt-BR"/>
        </w:rPr>
      </w:pPr>
    </w:p>
    <w:p w:rsidR="001F2B92" w:rsidRPr="009F1BDF" w:rsidRDefault="001F2B92" w:rsidP="001F2B92">
      <w:pPr>
        <w:rPr>
          <w:rFonts w:ascii="Cambria" w:hAnsi="Cambria"/>
          <w:bCs/>
          <w:sz w:val="22"/>
          <w:szCs w:val="20"/>
          <w:lang w:val="pt-BR"/>
        </w:rPr>
      </w:pPr>
      <w:r w:rsidRPr="009F1BDF">
        <w:rPr>
          <w:rFonts w:ascii="Cambria" w:hAnsi="Cambria"/>
          <w:bCs/>
          <w:sz w:val="22"/>
          <w:szCs w:val="20"/>
          <w:lang w:val="pt-BR"/>
        </w:rPr>
        <w:t>Emilio Álvarez-</w:t>
      </w:r>
      <w:proofErr w:type="spellStart"/>
      <w:r w:rsidRPr="009F1BDF">
        <w:rPr>
          <w:rFonts w:ascii="Cambria" w:hAnsi="Cambria"/>
          <w:bCs/>
          <w:sz w:val="22"/>
          <w:szCs w:val="20"/>
          <w:lang w:val="pt-BR"/>
        </w:rPr>
        <w:t>Icaza</w:t>
      </w:r>
      <w:proofErr w:type="spellEnd"/>
      <w:r w:rsidRPr="009F1BDF">
        <w:rPr>
          <w:rFonts w:ascii="Cambria" w:hAnsi="Cambria"/>
          <w:bCs/>
          <w:sz w:val="22"/>
          <w:szCs w:val="20"/>
          <w:lang w:val="pt-BR"/>
        </w:rPr>
        <w:t xml:space="preserve"> L.</w:t>
      </w:r>
    </w:p>
    <w:p w:rsidR="001F2B92" w:rsidRPr="009F1BDF" w:rsidRDefault="001F2B92" w:rsidP="001F2B92">
      <w:pPr>
        <w:rPr>
          <w:rFonts w:ascii="Cambria" w:hAnsi="Cambria"/>
          <w:bCs/>
          <w:sz w:val="20"/>
          <w:szCs w:val="20"/>
          <w:lang w:val="pt-BR"/>
        </w:rPr>
      </w:pPr>
    </w:p>
    <w:p w:rsidR="001F2B92" w:rsidRPr="009F1BDF" w:rsidRDefault="001F2B92" w:rsidP="001F2B92">
      <w:pPr>
        <w:rPr>
          <w:rFonts w:ascii="Cambria" w:hAnsi="Cambria"/>
          <w:bCs/>
          <w:sz w:val="20"/>
          <w:szCs w:val="20"/>
          <w:lang w:val="pt-BR"/>
        </w:rPr>
      </w:pPr>
    </w:p>
    <w:p w:rsidR="001F2B92" w:rsidRPr="009F1BDF" w:rsidRDefault="001F2B92" w:rsidP="00B06B98">
      <w:pPr>
        <w:pBdr>
          <w:bottom w:val="single" w:sz="4" w:space="1" w:color="808080"/>
        </w:pBdr>
        <w:rPr>
          <w:rFonts w:asciiTheme="majorHAnsi" w:hAnsiTheme="majorHAnsi"/>
          <w:b/>
          <w:bCs/>
          <w:color w:val="808080"/>
          <w:sz w:val="28"/>
          <w:szCs w:val="28"/>
          <w:lang w:val="en-US"/>
        </w:rPr>
      </w:pPr>
      <w:r w:rsidRPr="009F1BDF">
        <w:rPr>
          <w:rFonts w:asciiTheme="majorHAnsi" w:hAnsiTheme="majorHAnsi"/>
          <w:b/>
          <w:bCs/>
          <w:color w:val="808080"/>
          <w:sz w:val="28"/>
          <w:szCs w:val="28"/>
          <w:lang w:val="en-US"/>
        </w:rPr>
        <w:t>Assistant Executive Secretary</w:t>
      </w:r>
    </w:p>
    <w:p w:rsidR="001F2B92" w:rsidRPr="00624C6F" w:rsidRDefault="001F2B92" w:rsidP="001F2B92">
      <w:pPr>
        <w:rPr>
          <w:rFonts w:ascii="Cambria" w:hAnsi="Cambria"/>
          <w:bCs/>
          <w:sz w:val="20"/>
          <w:szCs w:val="20"/>
          <w:lang w:val="en-US"/>
        </w:rPr>
      </w:pPr>
    </w:p>
    <w:p w:rsidR="001F2B92" w:rsidRDefault="001F2B92" w:rsidP="001F2B92">
      <w:pPr>
        <w:rPr>
          <w:rFonts w:ascii="Cambria" w:hAnsi="Cambria"/>
          <w:bCs/>
          <w:sz w:val="22"/>
          <w:szCs w:val="20"/>
          <w:lang w:val="en-US"/>
        </w:rPr>
      </w:pPr>
      <w:r w:rsidRPr="00B06B98">
        <w:rPr>
          <w:rFonts w:ascii="Cambria" w:hAnsi="Cambria"/>
          <w:bCs/>
          <w:sz w:val="22"/>
          <w:szCs w:val="20"/>
          <w:lang w:val="en-US"/>
        </w:rPr>
        <w:t>Elizabeth Abi-</w:t>
      </w:r>
      <w:proofErr w:type="spellStart"/>
      <w:r w:rsidRPr="00B06B98">
        <w:rPr>
          <w:rFonts w:ascii="Cambria" w:hAnsi="Cambria"/>
          <w:bCs/>
          <w:sz w:val="22"/>
          <w:szCs w:val="20"/>
          <w:lang w:val="en-US"/>
        </w:rPr>
        <w:t>Mershed</w:t>
      </w:r>
      <w:proofErr w:type="spellEnd"/>
    </w:p>
    <w:p w:rsidR="00B06B98" w:rsidRDefault="00B06B98" w:rsidP="001F2B92">
      <w:pPr>
        <w:rPr>
          <w:rFonts w:ascii="Cambria" w:hAnsi="Cambria"/>
          <w:bCs/>
          <w:sz w:val="22"/>
          <w:szCs w:val="20"/>
          <w:lang w:val="en-US"/>
        </w:rPr>
      </w:pPr>
    </w:p>
    <w:p w:rsidR="00B06B98" w:rsidRDefault="00B06B98" w:rsidP="001F2B92">
      <w:pPr>
        <w:rPr>
          <w:rFonts w:ascii="Cambria" w:hAnsi="Cambria"/>
          <w:bCs/>
          <w:sz w:val="22"/>
          <w:szCs w:val="20"/>
          <w:lang w:val="en-US"/>
        </w:rPr>
      </w:pPr>
    </w:p>
    <w:p w:rsidR="00184C62" w:rsidRDefault="00184C62" w:rsidP="001F2B92">
      <w:pPr>
        <w:rPr>
          <w:rFonts w:ascii="Cambria" w:hAnsi="Cambria"/>
          <w:bCs/>
          <w:sz w:val="22"/>
          <w:szCs w:val="20"/>
          <w:lang w:val="en-US"/>
        </w:rPr>
        <w:sectPr w:rsidR="00184C62" w:rsidSect="00184C62">
          <w:headerReference w:type="even" r:id="rId16"/>
          <w:headerReference w:type="default" r:id="rId17"/>
          <w:footerReference w:type="default" r:id="rId18"/>
          <w:pgSz w:w="10080" w:h="14400" w:code="1"/>
          <w:pgMar w:top="1152" w:right="1152" w:bottom="1152" w:left="1296" w:header="720" w:footer="720" w:gutter="0"/>
          <w:cols w:space="720"/>
          <w:docGrid w:linePitch="326"/>
        </w:sectPr>
      </w:pPr>
    </w:p>
    <w:p w:rsidR="001F2B92" w:rsidRPr="00624C6F" w:rsidRDefault="00184C62" w:rsidP="00184C62">
      <w:pPr>
        <w:jc w:val="center"/>
        <w:rPr>
          <w:rFonts w:ascii="Cambria" w:hAnsi="Cambria"/>
          <w:b/>
          <w:sz w:val="20"/>
          <w:szCs w:val="20"/>
          <w:lang w:val="en-US"/>
        </w:rPr>
      </w:pPr>
      <w:r w:rsidRPr="00624C6F">
        <w:rPr>
          <w:rFonts w:ascii="Cambria" w:hAnsi="Cambria"/>
          <w:sz w:val="20"/>
          <w:szCs w:val="18"/>
          <w:lang w:val="en-US"/>
        </w:rPr>
        <w:lastRenderedPageBreak/>
        <w:t>Approved by the Inter-American Commission on Human Rights on December 31, 2015</w:t>
      </w:r>
    </w:p>
    <w:p w:rsidR="001F2B92" w:rsidRPr="00624C6F" w:rsidRDefault="001F2B92" w:rsidP="001F2B92">
      <w:pPr>
        <w:rPr>
          <w:rFonts w:ascii="Cambria" w:hAnsi="Cambria"/>
          <w:sz w:val="36"/>
          <w:szCs w:val="36"/>
          <w:lang w:val="en-US"/>
        </w:rPr>
        <w:sectPr w:rsidR="001F2B92" w:rsidRPr="00624C6F" w:rsidSect="00B06B98">
          <w:pgSz w:w="10080" w:h="14400" w:code="1"/>
          <w:pgMar w:top="1152" w:right="1152" w:bottom="1152" w:left="1296" w:header="720" w:footer="720" w:gutter="0"/>
          <w:cols w:space="720"/>
          <w:vAlign w:val="center"/>
          <w:docGrid w:linePitch="326"/>
        </w:sectPr>
      </w:pPr>
    </w:p>
    <w:p w:rsidR="001F2B92" w:rsidRPr="00624C6F" w:rsidRDefault="001F2B92" w:rsidP="00A8118A">
      <w:pPr>
        <w:jc w:val="center"/>
        <w:rPr>
          <w:rFonts w:asciiTheme="majorHAnsi" w:eastAsia="Times New Roman" w:hAnsiTheme="majorHAnsi"/>
          <w:color w:val="4A442A" w:themeColor="background2" w:themeShade="40"/>
          <w:sz w:val="52"/>
          <w:szCs w:val="52"/>
          <w:lang w:val="en-US"/>
        </w:rPr>
        <w:sectPr w:rsidR="001F2B92" w:rsidRPr="00624C6F" w:rsidSect="00A8118A">
          <w:headerReference w:type="default" r:id="rId19"/>
          <w:type w:val="oddPage"/>
          <w:pgSz w:w="10080" w:h="14400" w:code="1"/>
          <w:pgMar w:top="1152" w:right="1152" w:bottom="1152" w:left="1296" w:header="720" w:footer="720" w:gutter="0"/>
          <w:cols w:space="720"/>
          <w:vAlign w:val="center"/>
          <w:docGrid w:linePitch="326"/>
        </w:sectPr>
      </w:pPr>
      <w:bookmarkStart w:id="0" w:name="_Toc392951570"/>
      <w:r w:rsidRPr="00624C6F">
        <w:rPr>
          <w:rFonts w:asciiTheme="majorHAnsi" w:eastAsia="Times New Roman" w:hAnsiTheme="majorHAnsi"/>
          <w:color w:val="4A442A" w:themeColor="background2" w:themeShade="40"/>
          <w:sz w:val="52"/>
          <w:szCs w:val="52"/>
          <w:lang w:val="en-US"/>
        </w:rPr>
        <w:lastRenderedPageBreak/>
        <w:t>EXECUTIVE SUMMARY</w:t>
      </w:r>
    </w:p>
    <w:p w:rsidR="001F2B92" w:rsidRPr="00624C6F" w:rsidRDefault="001F2B92" w:rsidP="00422E47">
      <w:pPr>
        <w:pStyle w:val="Ttulo1"/>
        <w:rPr>
          <w:lang w:val="en-US"/>
        </w:rPr>
      </w:pPr>
      <w:bookmarkStart w:id="1" w:name="_Toc442694854"/>
      <w:bookmarkEnd w:id="0"/>
      <w:r w:rsidRPr="00624C6F">
        <w:rPr>
          <w:lang w:val="en-US"/>
        </w:rPr>
        <w:lastRenderedPageBreak/>
        <w:t>EXECUTIVE SUMMARY</w:t>
      </w:r>
      <w:bookmarkEnd w:id="1"/>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This report addresses the human rights situation in Honduras and offers recommendations intended to assist the State in strengthening its efforts to protect and uphold human rights in the country. </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cs="Tahoma"/>
          <w:sz w:val="20"/>
          <w:szCs w:val="20"/>
          <w:lang w:val="en-US"/>
        </w:rPr>
        <w:t xml:space="preserve">Violence and insecurity are serious problems facing Honduran society, with major repercussions on the effective enjoyment and currency of human rights in the country. In 2013, the murder rate in Honduras was the highest in the world, with 79 homicides per hundred thousand inhabitants, according to figures published by the National Violence Observatory of the University of Honduras (UNAH). For 2014, the State reported that based on the UNAH’s figures, the murder rate in Honduras had fallen to 66.4, whereas the UNAH published a figure of 68. Despite the discrepancy in the figures, the IACHR welcomes the decrease. However, the homicide rate remains one of the highest in the region and the world, and it particularly affects youth. </w:t>
      </w:r>
    </w:p>
    <w:p w:rsidR="001F2B92" w:rsidRPr="00624C6F" w:rsidRDefault="001F2B92" w:rsidP="001F2B92">
      <w:pPr>
        <w:ind w:left="547" w:hanging="547"/>
        <w:jc w:val="both"/>
        <w:rPr>
          <w:rFonts w:ascii="Cambria" w:hAnsi="Cambria"/>
          <w:sz w:val="20"/>
          <w:szCs w:val="20"/>
          <w:lang w:val="en-US"/>
        </w:rPr>
      </w:pPr>
      <w:r w:rsidRPr="00624C6F">
        <w:rPr>
          <w:rFonts w:ascii="Cambria" w:hAnsi="Cambria" w:cs="Tahoma"/>
          <w:sz w:val="20"/>
          <w:szCs w:val="20"/>
          <w:lang w:val="en-US"/>
        </w:rPr>
        <w:t xml:space="preserve"> </w:t>
      </w: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The IACHR notes that the levels of violence recorded</w:t>
      </w:r>
      <w:r w:rsidR="00955D50">
        <w:rPr>
          <w:rFonts w:ascii="Cambria" w:hAnsi="Cambria"/>
          <w:sz w:val="20"/>
          <w:szCs w:val="20"/>
          <w:lang w:val="en-US"/>
        </w:rPr>
        <w:t>—</w:t>
      </w:r>
      <w:r w:rsidRPr="00624C6F">
        <w:rPr>
          <w:rFonts w:ascii="Cambria" w:hAnsi="Cambria"/>
          <w:sz w:val="20"/>
          <w:szCs w:val="20"/>
          <w:lang w:val="en-US"/>
        </w:rPr>
        <w:t xml:space="preserve">and the particular impact on defenders, indigenous peoples, women, children, adolescents and young people, LGBT people, migrants, </w:t>
      </w:r>
      <w:r w:rsidRPr="00624C6F">
        <w:rPr>
          <w:rFonts w:ascii="Cambria" w:hAnsi="Cambria"/>
          <w:i/>
          <w:sz w:val="20"/>
          <w:szCs w:val="20"/>
          <w:lang w:val="en-US"/>
        </w:rPr>
        <w:t>campesinos</w:t>
      </w:r>
      <w:r w:rsidRPr="00624C6F">
        <w:rPr>
          <w:rFonts w:ascii="Cambria" w:hAnsi="Cambria"/>
          <w:sz w:val="20"/>
          <w:szCs w:val="20"/>
          <w:lang w:val="en-US"/>
        </w:rPr>
        <w:t xml:space="preserve"> from the Bajo </w:t>
      </w:r>
      <w:proofErr w:type="spellStart"/>
      <w:r w:rsidRPr="00624C6F">
        <w:rPr>
          <w:rFonts w:ascii="Cambria" w:hAnsi="Cambria"/>
          <w:sz w:val="20"/>
          <w:szCs w:val="20"/>
          <w:lang w:val="en-US"/>
        </w:rPr>
        <w:t>Aguán</w:t>
      </w:r>
      <w:proofErr w:type="spellEnd"/>
      <w:r w:rsidRPr="00624C6F">
        <w:rPr>
          <w:rFonts w:ascii="Cambria" w:hAnsi="Cambria"/>
          <w:sz w:val="20"/>
          <w:szCs w:val="20"/>
          <w:lang w:val="en-US"/>
        </w:rPr>
        <w:t>, journalists and media workers, and justice operators</w:t>
      </w:r>
      <w:r w:rsidR="00955D50">
        <w:rPr>
          <w:rFonts w:ascii="Cambria" w:hAnsi="Cambria"/>
          <w:sz w:val="20"/>
          <w:szCs w:val="20"/>
          <w:lang w:val="en-US"/>
        </w:rPr>
        <w:t>—</w:t>
      </w:r>
      <w:r w:rsidRPr="00624C6F">
        <w:rPr>
          <w:rFonts w:ascii="Cambria" w:hAnsi="Cambria"/>
          <w:sz w:val="20"/>
          <w:szCs w:val="20"/>
          <w:lang w:val="en-US"/>
        </w:rPr>
        <w:t xml:space="preserve">are the result of several factors, including the increased presence of organized crime and drug traffickers, </w:t>
      </w:r>
      <w:r w:rsidRPr="00624C6F">
        <w:rPr>
          <w:rFonts w:ascii="Cambria" w:hAnsi="Cambria" w:cs="Tahoma"/>
          <w:sz w:val="20"/>
          <w:szCs w:val="20"/>
          <w:lang w:val="en-US"/>
        </w:rPr>
        <w:t>the recruitment of children and adolescents,</w:t>
      </w:r>
      <w:r w:rsidRPr="00624C6F">
        <w:rPr>
          <w:rFonts w:ascii="Cambria" w:hAnsi="Cambria"/>
          <w:sz w:val="20"/>
          <w:szCs w:val="20"/>
          <w:lang w:val="en-US"/>
        </w:rPr>
        <w:t xml:space="preserve"> and an inadequate judicial response that fuels impunity, corruption, and high levels of poverty and inequality. In addition, according to the information received, part of that insecurity comes from the National Police, the Military Police, and the Army, through their illegitimate use of force, in some cases in complicity with organized crime. </w:t>
      </w:r>
      <w:r w:rsidRPr="00624C6F">
        <w:rPr>
          <w:rFonts w:asciiTheme="majorHAnsi" w:hAnsiTheme="majorHAnsi"/>
          <w:sz w:val="20"/>
          <w:szCs w:val="20"/>
          <w:lang w:val="en-US"/>
        </w:rPr>
        <w:t xml:space="preserve">It is of </w:t>
      </w:r>
      <w:proofErr w:type="gramStart"/>
      <w:r w:rsidRPr="00624C6F">
        <w:rPr>
          <w:rFonts w:asciiTheme="majorHAnsi" w:hAnsiTheme="majorHAnsi"/>
          <w:sz w:val="20"/>
          <w:szCs w:val="20"/>
          <w:lang w:val="en-US"/>
        </w:rPr>
        <w:t>particular concern</w:t>
      </w:r>
      <w:proofErr w:type="gramEnd"/>
      <w:r w:rsidRPr="00624C6F">
        <w:rPr>
          <w:rFonts w:asciiTheme="majorHAnsi" w:hAnsiTheme="majorHAnsi"/>
          <w:sz w:val="20"/>
          <w:szCs w:val="20"/>
          <w:lang w:val="en-US"/>
        </w:rPr>
        <w:t xml:space="preserve"> to the IACHR that these rates of violence and insecurity are exacerbated by the lack of public and other policies to address the inequality and social exclusion that affect large segments of the population. Such is the situation of groups that are vulnerable due to historical discrimination, examined in this report; they face persistent obstacles to the full enjoyment of their rights and a lack of access to justice.</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During the visit in December 2014, the Commission observed the serious situation faced by human rights defenders, who are targeted in attacks by individuals who have been identified as the perpetrators of human rights violations or, alternatively, by sectors and groups whose interests run contrary to their causes. In </w:t>
      </w:r>
      <w:proofErr w:type="gramStart"/>
      <w:r w:rsidRPr="00624C6F">
        <w:rPr>
          <w:rFonts w:ascii="Cambria" w:hAnsi="Cambria" w:cs="Tahoma"/>
          <w:sz w:val="20"/>
          <w:szCs w:val="20"/>
          <w:lang w:val="en-US"/>
        </w:rPr>
        <w:t>addition</w:t>
      </w:r>
      <w:proofErr w:type="gramEnd"/>
      <w:r w:rsidRPr="00624C6F">
        <w:rPr>
          <w:rFonts w:ascii="Cambria" w:hAnsi="Cambria" w:cs="Tahoma"/>
          <w:sz w:val="20"/>
          <w:szCs w:val="20"/>
          <w:lang w:val="en-US"/>
        </w:rPr>
        <w:t xml:space="preserve"> it noted that as a result of the risk of death or injury they face, a large number of human rights defenders in Honduras are covered by protective measures granted by the Commission, and that those measures require effective implementation by the Honduran State.</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lastRenderedPageBreak/>
        <w:t xml:space="preserve">During the visit, civil society organizations presented the Commission with information on what they describe as repression and political persecution against human rights defenders throughout the country and, most particularly, among defenders of indigenous communities working to protect land rights. The defenders of LGBT people also face a pattern of violence, which is heightened by stereotyped and discriminatory attitudes toward members of that group.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The Commission also noted with concern that the situation of widespread violence in the country over recent years has led to a significant increase in the numbers of refugees and asylum seekers in other countries of the region, including unaccompanied children and adolescents and young people who are unaccompanied by or have been separated from their families.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The IACHR was also able to observe the grave situation of insecurity related to freedom of expression faced by journalists and other media workers, which makes them a particularly vulnerable segment of the population.</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The </w:t>
      </w:r>
      <w:proofErr w:type="gramStart"/>
      <w:r w:rsidRPr="00624C6F">
        <w:rPr>
          <w:rFonts w:ascii="Cambria" w:hAnsi="Cambria"/>
          <w:sz w:val="20"/>
          <w:szCs w:val="20"/>
          <w:lang w:val="en-US"/>
        </w:rPr>
        <w:t>high levels</w:t>
      </w:r>
      <w:proofErr w:type="gramEnd"/>
      <w:r w:rsidRPr="00624C6F">
        <w:rPr>
          <w:rFonts w:ascii="Cambria" w:hAnsi="Cambria"/>
          <w:sz w:val="20"/>
          <w:szCs w:val="20"/>
          <w:lang w:val="en-US"/>
        </w:rPr>
        <w:t xml:space="preserve"> of violence that persist in the country have led to increased demands for justice which, in that they have not received an effective response from the State, have led to a situation of structural impunity. Official figures published in 2013 indicate that 80% of murders committed in Honduras go unpunished due to a lack of capacity on the part of the investigation agencies. During the visit, civil society organizations with which the Commission spoke claimed that the prevailing levels of impunity in Honduras were even higher.</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Due to its failure to respond effectively and to allegations of corruption and ties with organized crime, the National Police has lost the public’s trust. The State has therefore focused its efforts on legal and institutional reforms, whereby the armed forces have gradually become involved in tasks that do not necessarily correspond to their functions, </w:t>
      </w:r>
      <w:proofErr w:type="gramStart"/>
      <w:r w:rsidRPr="00624C6F">
        <w:rPr>
          <w:rFonts w:ascii="Cambria" w:hAnsi="Cambria"/>
          <w:sz w:val="20"/>
          <w:szCs w:val="20"/>
          <w:lang w:val="en-US"/>
        </w:rPr>
        <w:t>in the area of</w:t>
      </w:r>
      <w:proofErr w:type="gramEnd"/>
      <w:r w:rsidRPr="00624C6F">
        <w:rPr>
          <w:rFonts w:ascii="Cambria" w:hAnsi="Cambria"/>
          <w:sz w:val="20"/>
          <w:szCs w:val="20"/>
          <w:lang w:val="en-US"/>
        </w:rPr>
        <w:t xml:space="preserve"> regular citizen security, for example. Several stakeholders interviewed during the visit spoke of a process of growing militarization to deal with insecurity and consequently, of an increased military presence in the areas of greatest conflict and of an “open struggle against organized crime,” without a clear process for strengthening the National Police. In this context, a Military Police force was created as well as a group of judges and prosecutors with jurisdiction over the entire nation, with a mandate to accompany the Military Police to ensure that their duties are framed within the law. These judges and prosecutors do not have sufficient guarantees of independence and impartiality to analyze human rights violations perpetrated by the members of said Police. Based on its analysis, the IACHR has identified a series of concerns among others that military forces carry out activities not related to the country’s defense, but to law enforcement, matters that should correspond to the police.</w:t>
      </w:r>
    </w:p>
    <w:p w:rsidR="001F2B92" w:rsidRPr="00624C6F" w:rsidRDefault="001F2B92" w:rsidP="001F2B92">
      <w:pPr>
        <w:pStyle w:val="Prrafodelista"/>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The IACHR welcomes the Honduran State’s openness toward international scrutiny and the measures the State has taken to address the situation described in the report. </w:t>
      </w:r>
      <w:proofErr w:type="gramStart"/>
      <w:r w:rsidRPr="00624C6F">
        <w:rPr>
          <w:rFonts w:ascii="Cambria" w:hAnsi="Cambria"/>
          <w:sz w:val="20"/>
          <w:szCs w:val="20"/>
          <w:lang w:val="en-US"/>
        </w:rPr>
        <w:t>In particular, it</w:t>
      </w:r>
      <w:proofErr w:type="gramEnd"/>
      <w:r w:rsidRPr="00624C6F">
        <w:rPr>
          <w:rFonts w:ascii="Cambria" w:hAnsi="Cambria"/>
          <w:sz w:val="20"/>
          <w:szCs w:val="20"/>
          <w:lang w:val="en-US"/>
        </w:rPr>
        <w:t xml:space="preserve"> commends the enactment of the Law on the Protection of Human Rights Defenders, Journalists, Media Workers, and Justice Operators, which was passed unanimously by the National Congress on April 15, 2015. </w:t>
      </w:r>
      <w:r w:rsidR="00EF623E" w:rsidRPr="004F7791">
        <w:rPr>
          <w:rFonts w:ascii="Cambria" w:hAnsi="Cambria"/>
          <w:color w:val="222222"/>
          <w:sz w:val="20"/>
          <w:szCs w:val="20"/>
          <w:shd w:val="clear" w:color="auto" w:fill="FFFFFF"/>
          <w:lang w:val="en-US"/>
        </w:rPr>
        <w:t xml:space="preserve">In addition, the IACHR applauds the government’s decision to invite an enhanced presence in the country by the United Nations Office of the High Commissioner for Human </w:t>
      </w:r>
      <w:r w:rsidR="00EF623E" w:rsidRPr="004F7791">
        <w:rPr>
          <w:rFonts w:ascii="Cambria" w:hAnsi="Cambria"/>
          <w:color w:val="222222"/>
          <w:sz w:val="20"/>
          <w:szCs w:val="20"/>
          <w:shd w:val="clear" w:color="auto" w:fill="FFFFFF"/>
          <w:lang w:val="en-US"/>
        </w:rPr>
        <w:lastRenderedPageBreak/>
        <w:t xml:space="preserve">Rights. The Headquarters agreement was </w:t>
      </w:r>
      <w:proofErr w:type="gramStart"/>
      <w:r w:rsidR="00EF623E" w:rsidRPr="004F7791">
        <w:rPr>
          <w:rFonts w:ascii="Cambria" w:hAnsi="Cambria"/>
          <w:color w:val="222222"/>
          <w:sz w:val="20"/>
          <w:szCs w:val="20"/>
          <w:shd w:val="clear" w:color="auto" w:fill="FFFFFF"/>
          <w:lang w:val="en-US"/>
        </w:rPr>
        <w:t>signed  on</w:t>
      </w:r>
      <w:proofErr w:type="gramEnd"/>
      <w:r w:rsidR="00EF623E" w:rsidRPr="004F7791">
        <w:rPr>
          <w:rFonts w:ascii="Cambria" w:hAnsi="Cambria"/>
          <w:color w:val="222222"/>
          <w:sz w:val="20"/>
          <w:szCs w:val="20"/>
          <w:shd w:val="clear" w:color="auto" w:fill="FFFFFF"/>
          <w:lang w:val="en-US"/>
        </w:rPr>
        <w:t xml:space="preserve"> May 4, 2015</w:t>
      </w:r>
      <w:r w:rsidRPr="00624C6F">
        <w:rPr>
          <w:rFonts w:ascii="Cambria" w:hAnsi="Cambria"/>
          <w:sz w:val="20"/>
          <w:szCs w:val="20"/>
          <w:lang w:val="en-US"/>
        </w:rPr>
        <w:t>. The IACHR also notes the Collaboration and Good Faith Agreement for the Promotion of Transparency, the Fight against Corruption, and the Strengthening of Integrity Systems, signed by the Government of Honduras and Transparency International on October 6, 2014. The Commission also acknowledges that a step forward has been taken with the Public Policy and National Action Plan for Human Rights that is currently being implemented and the National Plan Against Violence against Women 2014-2022.</w:t>
      </w:r>
    </w:p>
    <w:p w:rsidR="001F2B92" w:rsidRPr="00624C6F" w:rsidRDefault="001F2B92" w:rsidP="001F2B92">
      <w:pPr>
        <w:pStyle w:val="Prrafodelista"/>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The Commission also notes the progress that has been made on the legislative front in recent years </w:t>
      </w:r>
      <w:proofErr w:type="gramStart"/>
      <w:r w:rsidRPr="00624C6F">
        <w:rPr>
          <w:rFonts w:ascii="Cambria" w:hAnsi="Cambria"/>
          <w:sz w:val="20"/>
          <w:szCs w:val="20"/>
          <w:lang w:val="en-US"/>
        </w:rPr>
        <w:t>in the area of</w:t>
      </w:r>
      <w:proofErr w:type="gramEnd"/>
      <w:r w:rsidRPr="00624C6F">
        <w:rPr>
          <w:rFonts w:ascii="Cambria" w:hAnsi="Cambria"/>
          <w:sz w:val="20"/>
          <w:szCs w:val="20"/>
          <w:lang w:val="en-US"/>
        </w:rPr>
        <w:t xml:space="preserve"> human rights, such as the adjustment of criminal legislation to international standards; the Law against Trafficking in Persons; the National Policy on Women and the II Plan on Gender Equality and Equity of Honduras; and the creation of the National Migration Institute and the Task Force on Migrant Children. </w:t>
      </w:r>
      <w:proofErr w:type="gramStart"/>
      <w:r w:rsidRPr="00624C6F">
        <w:rPr>
          <w:rFonts w:ascii="Cambria" w:hAnsi="Cambria"/>
          <w:sz w:val="20"/>
          <w:szCs w:val="20"/>
          <w:lang w:val="en-US"/>
        </w:rPr>
        <w:t>Also</w:t>
      </w:r>
      <w:proofErr w:type="gramEnd"/>
      <w:r w:rsidRPr="00624C6F">
        <w:rPr>
          <w:rFonts w:ascii="Cambria" w:hAnsi="Cambria"/>
          <w:sz w:val="20"/>
          <w:szCs w:val="20"/>
          <w:lang w:val="en-US"/>
        </w:rPr>
        <w:t xml:space="preserve"> in terms of access to justice, the Commission welcomes initiatives such as the Violent Death Unit of Bajo </w:t>
      </w:r>
      <w:proofErr w:type="spellStart"/>
      <w:r w:rsidRPr="00624C6F">
        <w:rPr>
          <w:rFonts w:ascii="Cambria" w:hAnsi="Cambria"/>
          <w:sz w:val="20"/>
          <w:szCs w:val="20"/>
          <w:lang w:val="en-US"/>
        </w:rPr>
        <w:t>Aguán</w:t>
      </w:r>
      <w:proofErr w:type="spellEnd"/>
      <w:r w:rsidRPr="00624C6F">
        <w:rPr>
          <w:rFonts w:ascii="Cambria" w:hAnsi="Cambria"/>
          <w:sz w:val="20"/>
          <w:szCs w:val="20"/>
          <w:lang w:val="en-US"/>
        </w:rPr>
        <w:t xml:space="preserve"> and the creation of criminal investigation agencies so as to centralize investigative efforts, even though in practice, according to information the Commission received, there may be a need for greater coordination and transfer of capacity between existing units. The IACHR also welcomes government initiatives to strengthen and improve the various entities that participate in the administration of justice. However, it takes note of some objections to certain aspects of the methodology. In addition, the IACHR notes that the creation of the Secretariat of Human Rights, Justice, Interior, and Decentralization (“Secretariat of Human Rights”)</w:t>
      </w:r>
      <w:r w:rsidRPr="00624C6F">
        <w:rPr>
          <w:rFonts w:ascii="Cambria" w:hAnsi="Cambria" w:cs="Tahoma"/>
          <w:sz w:val="20"/>
          <w:szCs w:val="20"/>
          <w:lang w:val="en-US"/>
        </w:rPr>
        <w:t xml:space="preserve"> has demonstrated the capacity for effective </w:t>
      </w:r>
      <w:r w:rsidRPr="00624C6F">
        <w:rPr>
          <w:rFonts w:ascii="Cambria" w:hAnsi="Cambria"/>
          <w:sz w:val="20"/>
          <w:szCs w:val="20"/>
          <w:lang w:val="en-US"/>
        </w:rPr>
        <w:t>coordination</w:t>
      </w:r>
      <w:r w:rsidRPr="00624C6F">
        <w:rPr>
          <w:rFonts w:ascii="Cambria" w:hAnsi="Cambria" w:cs="Tahoma"/>
          <w:sz w:val="20"/>
          <w:szCs w:val="20"/>
          <w:lang w:val="en-US"/>
        </w:rPr>
        <w:t xml:space="preserve"> among institutions, and the Commission hopes that this agency is given sufficient funding to carry out its mandate effectively.</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Regarding the administration of justice, during the visit the Commission received information on measures adopted </w:t>
      </w:r>
      <w:proofErr w:type="gramStart"/>
      <w:r w:rsidRPr="00624C6F">
        <w:rPr>
          <w:rFonts w:ascii="Cambria" w:hAnsi="Cambria"/>
          <w:sz w:val="20"/>
          <w:szCs w:val="20"/>
          <w:lang w:val="en-US"/>
        </w:rPr>
        <w:t>in order to</w:t>
      </w:r>
      <w:proofErr w:type="gramEnd"/>
      <w:r w:rsidRPr="00624C6F">
        <w:rPr>
          <w:rFonts w:ascii="Cambria" w:hAnsi="Cambria"/>
          <w:sz w:val="20"/>
          <w:szCs w:val="20"/>
          <w:lang w:val="en-US"/>
        </w:rPr>
        <w:t xml:space="preserve"> rebuild the public’s trust in the justice system, to bolster efforts against organized crime, and to reduce corruption. Nevertheless, the IACHR points out that important challenges to the effectiveness of the measures adopted remain in place. Several of those challenges arise from the regulatory framework deployed by the State to regulate the selection and disciplinary processes applicable to justice operators. Specifically, the Commission noted with concern the functioning of the Judicature Council: according to the information received, its procedures</w:t>
      </w:r>
      <w:r w:rsidR="00955D50">
        <w:rPr>
          <w:rFonts w:ascii="Cambria" w:hAnsi="Cambria"/>
          <w:sz w:val="20"/>
          <w:szCs w:val="20"/>
          <w:lang w:val="en-US"/>
        </w:rPr>
        <w:t>—</w:t>
      </w:r>
      <w:r w:rsidRPr="00624C6F">
        <w:rPr>
          <w:rFonts w:ascii="Cambria" w:hAnsi="Cambria"/>
          <w:sz w:val="20"/>
          <w:szCs w:val="20"/>
          <w:lang w:val="en-US"/>
        </w:rPr>
        <w:t>in particular, its selection and appointment processes</w:t>
      </w:r>
      <w:r w:rsidR="00955D50">
        <w:rPr>
          <w:rFonts w:ascii="Cambria" w:hAnsi="Cambria"/>
          <w:sz w:val="20"/>
          <w:szCs w:val="20"/>
          <w:lang w:val="en-US"/>
        </w:rPr>
        <w:t>—</w:t>
      </w:r>
      <w:r w:rsidRPr="00624C6F">
        <w:rPr>
          <w:rFonts w:ascii="Cambria" w:hAnsi="Cambria"/>
          <w:sz w:val="20"/>
          <w:szCs w:val="20"/>
          <w:lang w:val="en-US"/>
        </w:rPr>
        <w:t>are not being conducted transparently, nor are justice operators being guaranteed access under conditions of equality and in accordance with their merit. The IACHR also received information regarding the clean-up process in the judiciary and the administration of trustworthiness tests to several public officials</w:t>
      </w:r>
      <w:r w:rsidR="00955D50">
        <w:rPr>
          <w:rFonts w:ascii="Cambria" w:hAnsi="Cambria"/>
          <w:sz w:val="20"/>
          <w:szCs w:val="20"/>
          <w:lang w:val="en-US"/>
        </w:rPr>
        <w:t>—</w:t>
      </w:r>
      <w:r w:rsidRPr="00624C6F">
        <w:rPr>
          <w:rFonts w:ascii="Cambria" w:hAnsi="Cambria"/>
          <w:sz w:val="20"/>
          <w:szCs w:val="20"/>
          <w:lang w:val="en-US"/>
        </w:rPr>
        <w:t>including justice operators</w:t>
      </w:r>
      <w:r w:rsidR="00955D50">
        <w:rPr>
          <w:rFonts w:ascii="Cambria" w:hAnsi="Cambria"/>
          <w:sz w:val="20"/>
          <w:szCs w:val="20"/>
          <w:lang w:val="en-US"/>
        </w:rPr>
        <w:t>—</w:t>
      </w:r>
      <w:r w:rsidRPr="00624C6F">
        <w:rPr>
          <w:rFonts w:ascii="Cambria" w:hAnsi="Cambria"/>
          <w:sz w:val="20"/>
          <w:szCs w:val="20"/>
          <w:lang w:val="en-US"/>
        </w:rPr>
        <w:t>which reveals possible threats to the independence of judges and prosecutors.</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At the same time, during the visit the Commission noted the continued existence of </w:t>
      </w:r>
      <w:proofErr w:type="gramStart"/>
      <w:r w:rsidRPr="00624C6F">
        <w:rPr>
          <w:rFonts w:ascii="Cambria" w:hAnsi="Cambria"/>
          <w:sz w:val="20"/>
          <w:szCs w:val="20"/>
          <w:lang w:val="en-US"/>
        </w:rPr>
        <w:t>high levels</w:t>
      </w:r>
      <w:proofErr w:type="gramEnd"/>
      <w:r w:rsidRPr="00624C6F">
        <w:rPr>
          <w:rFonts w:ascii="Cambria" w:hAnsi="Cambria"/>
          <w:sz w:val="20"/>
          <w:szCs w:val="20"/>
          <w:lang w:val="en-US"/>
        </w:rPr>
        <w:t xml:space="preserve"> of inequality and social exclusion affecting large sectors of the population. </w:t>
      </w:r>
      <w:proofErr w:type="gramStart"/>
      <w:r w:rsidRPr="00624C6F">
        <w:rPr>
          <w:rFonts w:ascii="Cambria" w:hAnsi="Cambria"/>
          <w:sz w:val="20"/>
          <w:szCs w:val="20"/>
          <w:lang w:val="en-US"/>
        </w:rPr>
        <w:t>Specifically</w:t>
      </w:r>
      <w:proofErr w:type="gramEnd"/>
      <w:r w:rsidRPr="00624C6F">
        <w:rPr>
          <w:rFonts w:ascii="Cambria" w:hAnsi="Cambria"/>
          <w:sz w:val="20"/>
          <w:szCs w:val="20"/>
          <w:lang w:val="en-US"/>
        </w:rPr>
        <w:t xml:space="preserve"> it observed the serious difficulties and challenges in their access to basic needs, employment opportunities, natural resources, including land, and means of subsistence. Women, indigenous peoples and Afro-descendants are some of the most vulnerable segments of the population </w:t>
      </w:r>
      <w:proofErr w:type="gramStart"/>
      <w:r w:rsidRPr="00624C6F">
        <w:rPr>
          <w:rFonts w:ascii="Cambria" w:hAnsi="Cambria"/>
          <w:sz w:val="20"/>
          <w:szCs w:val="20"/>
          <w:lang w:val="en-US"/>
        </w:rPr>
        <w:t>as a result of</w:t>
      </w:r>
      <w:proofErr w:type="gramEnd"/>
      <w:r w:rsidRPr="00624C6F">
        <w:rPr>
          <w:rFonts w:ascii="Cambria" w:hAnsi="Cambria"/>
          <w:sz w:val="20"/>
          <w:szCs w:val="20"/>
          <w:lang w:val="en-US"/>
        </w:rPr>
        <w:t xml:space="preserve"> discrimination and persistent economic and social exclusion, which in turn translates into </w:t>
      </w:r>
      <w:r w:rsidRPr="00624C6F">
        <w:rPr>
          <w:rFonts w:ascii="Cambria" w:hAnsi="Cambria"/>
          <w:sz w:val="20"/>
          <w:szCs w:val="20"/>
          <w:lang w:val="en-US"/>
        </w:rPr>
        <w:lastRenderedPageBreak/>
        <w:t xml:space="preserve">violations of their human rights. </w:t>
      </w:r>
      <w:proofErr w:type="gramStart"/>
      <w:r w:rsidRPr="00624C6F">
        <w:rPr>
          <w:rFonts w:ascii="Cambria" w:hAnsi="Cambria"/>
          <w:sz w:val="20"/>
          <w:szCs w:val="20"/>
          <w:lang w:val="en-US"/>
        </w:rPr>
        <w:t>In particular, the</w:t>
      </w:r>
      <w:proofErr w:type="gramEnd"/>
      <w:r w:rsidRPr="00624C6F">
        <w:rPr>
          <w:rFonts w:ascii="Cambria" w:hAnsi="Cambria"/>
          <w:sz w:val="20"/>
          <w:szCs w:val="20"/>
          <w:lang w:val="en-US"/>
        </w:rPr>
        <w:t xml:space="preserve"> IACHR received testimony on the grave situation faced by women employed at transnational textile companies and by Miskito divers. </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As regards people deprived of their liberty, the IACHR has examined some of what it considers to be the most serious problems within the Honduran prison system such as internal control of security and internal matters and the associated lack of effective control by the authorities; overcrowding and deplorable detention conditions; and the failure to classify detainees, including the failure to separate men from women at some detention facilities and to separate convicted persons from those awaiting or standing trial, as well as major problems in the area of juvenile justice. </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The Commission hopes that this report will assist the Honduran State in breaking the prevailing cycle of impunity and in adjusting the mechanisms it has created in recent years, </w:t>
      </w:r>
      <w:proofErr w:type="gramStart"/>
      <w:r w:rsidRPr="00624C6F">
        <w:rPr>
          <w:rFonts w:ascii="Cambria" w:hAnsi="Cambria"/>
          <w:sz w:val="20"/>
          <w:szCs w:val="20"/>
          <w:lang w:val="en-US"/>
        </w:rPr>
        <w:t>in order to</w:t>
      </w:r>
      <w:proofErr w:type="gramEnd"/>
      <w:r w:rsidRPr="00624C6F">
        <w:rPr>
          <w:rFonts w:ascii="Cambria" w:hAnsi="Cambria"/>
          <w:sz w:val="20"/>
          <w:szCs w:val="20"/>
          <w:lang w:val="en-US"/>
        </w:rPr>
        <w:t xml:space="preserve"> ensure the effective prevention and investigation of human rights violations and the prosecution and punishment of those responsible. Accordingly, the IACHR offers a series of recommendations to the State of Honduras.</w:t>
      </w:r>
    </w:p>
    <w:p w:rsidR="00DC704F" w:rsidRDefault="00DC704F" w:rsidP="00DC704F">
      <w:pPr>
        <w:rPr>
          <w:rFonts w:ascii="Cambria" w:hAnsi="Cambria"/>
          <w:sz w:val="20"/>
          <w:szCs w:val="20"/>
          <w:lang w:val="en-US"/>
        </w:rPr>
      </w:pPr>
    </w:p>
    <w:p w:rsidR="00202CB5" w:rsidRDefault="00202CB5" w:rsidP="00202CB5">
      <w:pPr>
        <w:rPr>
          <w:rFonts w:ascii="Cambria" w:hAnsi="Cambria" w:cs="Tahoma"/>
          <w:sz w:val="20"/>
          <w:szCs w:val="20"/>
          <w:lang w:val="en-US"/>
        </w:rPr>
      </w:pPr>
    </w:p>
    <w:p w:rsidR="00202CB5" w:rsidRDefault="00202CB5" w:rsidP="00202CB5">
      <w:pPr>
        <w:rPr>
          <w:rFonts w:ascii="Cambria" w:hAnsi="Cambria"/>
          <w:spacing w:val="-10"/>
          <w:sz w:val="44"/>
          <w:szCs w:val="44"/>
          <w:lang w:val="en-US"/>
        </w:rPr>
        <w:sectPr w:rsidR="00202CB5" w:rsidSect="001F2B92">
          <w:headerReference w:type="even" r:id="rId20"/>
          <w:headerReference w:type="default" r:id="rId21"/>
          <w:footerReference w:type="even" r:id="rId22"/>
          <w:footerReference w:type="default" r:id="rId23"/>
          <w:type w:val="oddPage"/>
          <w:pgSz w:w="10080" w:h="14400" w:code="1"/>
          <w:pgMar w:top="1152" w:right="1152" w:bottom="1152" w:left="1296" w:header="720" w:footer="720" w:gutter="0"/>
          <w:cols w:space="720"/>
          <w:docGrid w:linePitch="326"/>
        </w:sectPr>
      </w:pPr>
    </w:p>
    <w:p w:rsidR="001F2B92" w:rsidRPr="00202CB5" w:rsidRDefault="001F2B92" w:rsidP="00202CB5">
      <w:pPr>
        <w:jc w:val="center"/>
        <w:rPr>
          <w:rFonts w:ascii="Cambria" w:hAnsi="Cambria" w:cs="Tahoma"/>
          <w:sz w:val="20"/>
          <w:szCs w:val="20"/>
          <w:lang w:val="en-US"/>
        </w:rPr>
      </w:pPr>
      <w:r w:rsidRPr="00202CB5">
        <w:rPr>
          <w:rFonts w:asciiTheme="majorHAnsi" w:hAnsiTheme="majorHAnsi"/>
          <w:color w:val="808080" w:themeColor="background1" w:themeShade="80"/>
          <w:sz w:val="44"/>
          <w:szCs w:val="44"/>
          <w:lang w:val="es-ES"/>
        </w:rPr>
        <w:lastRenderedPageBreak/>
        <w:t>CHAPTER 2</w:t>
      </w:r>
      <w:r w:rsidRPr="00624C6F">
        <w:rPr>
          <w:rFonts w:ascii="Cambria" w:hAnsi="Cambria"/>
          <w:spacing w:val="-10"/>
          <w:sz w:val="52"/>
          <w:szCs w:val="52"/>
          <w:lang w:val="en-US"/>
        </w:rPr>
        <w:br/>
      </w:r>
      <w:r w:rsidRPr="00202CB5">
        <w:rPr>
          <w:rFonts w:asciiTheme="majorHAnsi" w:hAnsiTheme="majorHAnsi"/>
          <w:color w:val="4A442A" w:themeColor="background2" w:themeShade="40"/>
          <w:sz w:val="52"/>
          <w:szCs w:val="52"/>
          <w:lang w:val="es-ES"/>
        </w:rPr>
        <w:t>CITIZEN SECURITY</w:t>
      </w:r>
    </w:p>
    <w:p w:rsidR="001F2B92" w:rsidRPr="00624C6F" w:rsidRDefault="001F2B92" w:rsidP="001F2B92">
      <w:pPr>
        <w:pStyle w:val="Prrafodelista"/>
        <w:ind w:left="547" w:hanging="547"/>
        <w:jc w:val="center"/>
        <w:rPr>
          <w:rFonts w:ascii="Cambria" w:hAnsi="Cambria"/>
          <w:spacing w:val="-10"/>
          <w:sz w:val="52"/>
          <w:szCs w:val="52"/>
          <w:lang w:val="en-US"/>
        </w:rPr>
      </w:pPr>
    </w:p>
    <w:p w:rsidR="001F2B92" w:rsidRPr="00624C6F" w:rsidRDefault="001F2B92" w:rsidP="001F2B92">
      <w:pPr>
        <w:pStyle w:val="Prrafodelista"/>
        <w:ind w:left="547" w:hanging="547"/>
        <w:jc w:val="center"/>
        <w:rPr>
          <w:rFonts w:ascii="Cambria" w:hAnsi="Cambria"/>
          <w:sz w:val="20"/>
          <w:szCs w:val="20"/>
          <w:lang w:val="en-US"/>
        </w:rPr>
        <w:sectPr w:rsidR="001F2B92" w:rsidRPr="00624C6F" w:rsidSect="00202CB5">
          <w:headerReference w:type="default" r:id="rId24"/>
          <w:footerReference w:type="default" r:id="rId25"/>
          <w:type w:val="oddPage"/>
          <w:pgSz w:w="10080" w:h="14400" w:code="1"/>
          <w:pgMar w:top="1152" w:right="1152" w:bottom="1152" w:left="1296" w:header="720" w:footer="720" w:gutter="0"/>
          <w:cols w:space="720"/>
          <w:vAlign w:val="center"/>
          <w:docGrid w:linePitch="326"/>
        </w:sectPr>
      </w:pPr>
    </w:p>
    <w:p w:rsidR="001F2B92" w:rsidRPr="00202CB5" w:rsidRDefault="001F2B92" w:rsidP="00202CB5">
      <w:pPr>
        <w:pStyle w:val="Ttulo1"/>
      </w:pPr>
      <w:bookmarkStart w:id="2" w:name="_Toc442694856"/>
      <w:r w:rsidRPr="00202CB5">
        <w:lastRenderedPageBreak/>
        <w:t>CITIZEN SECURITY</w:t>
      </w:r>
      <w:bookmarkEnd w:id="2"/>
    </w:p>
    <w:p w:rsidR="001F2B92" w:rsidRPr="00202CB5" w:rsidRDefault="001F2B92" w:rsidP="00202CB5">
      <w:pPr>
        <w:pStyle w:val="Ttulo2"/>
      </w:pPr>
      <w:bookmarkStart w:id="3" w:name="_Toc442694857"/>
      <w:proofErr w:type="spellStart"/>
      <w:r w:rsidRPr="00202CB5">
        <w:t>Violence</w:t>
      </w:r>
      <w:proofErr w:type="spellEnd"/>
      <w:r w:rsidRPr="00202CB5">
        <w:t xml:space="preserve"> and </w:t>
      </w:r>
      <w:proofErr w:type="spellStart"/>
      <w:r w:rsidRPr="00202CB5">
        <w:t>citizen</w:t>
      </w:r>
      <w:proofErr w:type="spellEnd"/>
      <w:r w:rsidRPr="00202CB5">
        <w:t xml:space="preserve"> </w:t>
      </w:r>
      <w:proofErr w:type="spellStart"/>
      <w:r w:rsidRPr="00202CB5">
        <w:t>insecurity</w:t>
      </w:r>
      <w:bookmarkEnd w:id="3"/>
      <w:proofErr w:type="spellEnd"/>
    </w:p>
    <w:p w:rsidR="001F2B92" w:rsidRPr="00C30382" w:rsidRDefault="001F2B92" w:rsidP="00C30382">
      <w:pPr>
        <w:pStyle w:val="Parrnumerado"/>
        <w:numPr>
          <w:ilvl w:val="0"/>
          <w:numId w:val="20"/>
        </w:numPr>
        <w:rPr>
          <w:rFonts w:ascii="Cambria" w:hAnsi="Cambria" w:cs="Tahoma"/>
        </w:rPr>
      </w:pPr>
      <w:r w:rsidRPr="00C30382">
        <w:rPr>
          <w:rFonts w:ascii="Cambria" w:hAnsi="Cambria" w:cs="Tahoma"/>
        </w:rPr>
        <w:t>Violence and insecurity are serious problems that face Honduran society, with major implications for the enjoyment and effective exercise of human rights in the country.</w:t>
      </w:r>
      <w:r w:rsidRPr="00624C6F">
        <w:rPr>
          <w:rStyle w:val="Refdenotaalpie"/>
          <w:rFonts w:ascii="Cambria" w:hAnsi="Cambria" w:cs="Tahoma"/>
        </w:rPr>
        <w:footnoteReference w:id="1"/>
      </w:r>
      <w:r w:rsidRPr="00C30382">
        <w:rPr>
          <w:rFonts w:ascii="Cambria" w:hAnsi="Cambria" w:cs="Tahoma"/>
        </w:rPr>
        <w:t xml:space="preserve"> The homicide rate in Honduras is one of the highest in the region. According to a study by the United Nations Office on Drugs and Crime (UNODC), in Honduras the homicide rate per 100,000 inhabitants increased from 50.9 in 2000 to 81.8 in 2010, 91.4 in 2011, and 90.4 in 2012</w:t>
      </w:r>
      <w:r w:rsidR="00955D50" w:rsidRPr="00C30382">
        <w:rPr>
          <w:rFonts w:ascii="Cambria" w:hAnsi="Cambria" w:cs="Tahoma"/>
        </w:rPr>
        <w:t>.</w:t>
      </w:r>
      <w:r w:rsidRPr="00624C6F">
        <w:rPr>
          <w:rStyle w:val="Refdenotaalpie"/>
          <w:rFonts w:ascii="Cambria" w:hAnsi="Cambria" w:cs="Tahoma"/>
        </w:rPr>
        <w:footnoteReference w:id="2"/>
      </w:r>
      <w:r w:rsidRPr="00C30382">
        <w:rPr>
          <w:rFonts w:ascii="Cambria" w:hAnsi="Cambria" w:cs="Tahoma"/>
        </w:rPr>
        <w:t xml:space="preserve"> Regarding the number of homicides registered in 2012, the rector of the National University of Honduras (UNAH), using a different methodology from that of UNODC, stated that the rate was 85.6, and not 90.4 as UNODC had stated</w:t>
      </w:r>
      <w:r w:rsidR="00955D50" w:rsidRPr="00C30382">
        <w:rPr>
          <w:rFonts w:ascii="Cambria" w:hAnsi="Cambria" w:cs="Tahoma"/>
        </w:rPr>
        <w:t>.</w:t>
      </w:r>
      <w:r w:rsidRPr="00624C6F">
        <w:rPr>
          <w:rStyle w:val="Refdenotaalpie"/>
          <w:rFonts w:ascii="Cambria" w:hAnsi="Cambria" w:cs="Tahoma"/>
        </w:rPr>
        <w:footnoteReference w:id="3"/>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In 2013, the homicide rate in Honduras was the highest in the world, with a rate of 79 per 100,000 inhabitants, according to figures released by the Observatory of Violence at UNAH</w:t>
      </w:r>
      <w:r w:rsidR="00955D50">
        <w:rPr>
          <w:rFonts w:ascii="Cambria" w:hAnsi="Cambria" w:cs="Tahoma"/>
          <w:sz w:val="20"/>
          <w:szCs w:val="20"/>
          <w:lang w:val="en-US"/>
        </w:rPr>
        <w:t>.</w:t>
      </w:r>
      <w:r w:rsidRPr="00624C6F">
        <w:rPr>
          <w:rStyle w:val="Refdenotaalpie"/>
          <w:rFonts w:ascii="Cambria" w:hAnsi="Cambria" w:cs="Tahoma"/>
          <w:sz w:val="20"/>
          <w:szCs w:val="20"/>
          <w:lang w:val="en-US"/>
        </w:rPr>
        <w:footnoteReference w:id="4"/>
      </w:r>
      <w:r w:rsidRPr="00624C6F">
        <w:rPr>
          <w:rFonts w:ascii="Cambria" w:hAnsi="Cambria" w:cs="Tahoma"/>
          <w:sz w:val="20"/>
          <w:szCs w:val="20"/>
          <w:lang w:val="en-US"/>
        </w:rPr>
        <w:t xml:space="preserve"> By 2014 the State indicated that, based on figures from UNAH, the homicide rate in Honduras had dropped to 66.4, while UNAH published the figure of 68</w:t>
      </w:r>
      <w:r w:rsidR="00955D50">
        <w:rPr>
          <w:rFonts w:ascii="Cambria" w:hAnsi="Cambria" w:cs="Tahoma"/>
          <w:sz w:val="20"/>
          <w:szCs w:val="20"/>
          <w:lang w:val="en-US"/>
        </w:rPr>
        <w:t>.</w:t>
      </w:r>
      <w:r w:rsidRPr="00624C6F">
        <w:rPr>
          <w:rStyle w:val="Refdenotaalpie"/>
          <w:rFonts w:ascii="Cambria" w:hAnsi="Cambria" w:cs="Tahoma"/>
          <w:sz w:val="20"/>
          <w:szCs w:val="20"/>
          <w:lang w:val="en-US"/>
        </w:rPr>
        <w:footnoteReference w:id="5"/>
      </w:r>
      <w:r w:rsidRPr="00624C6F">
        <w:rPr>
          <w:rFonts w:ascii="Cambria" w:hAnsi="Cambria" w:cs="Tahoma"/>
          <w:sz w:val="20"/>
          <w:szCs w:val="20"/>
          <w:lang w:val="en-US"/>
        </w:rPr>
        <w:t xml:space="preserve"> Despite the discrepancy in the figures, the IACHR welcomes the decrease. However, observes that the homicide rate remains one of the highest in the region and the world.</w:t>
      </w:r>
      <w:r w:rsidRPr="00624C6F">
        <w:rPr>
          <w:rStyle w:val="Refdenotaalpie"/>
          <w:rFonts w:ascii="Cambria" w:hAnsi="Cambria" w:cs="Tahoma"/>
          <w:sz w:val="20"/>
          <w:szCs w:val="20"/>
          <w:lang w:val="en-US"/>
        </w:rPr>
        <w:footnoteReference w:id="6"/>
      </w:r>
      <w:r w:rsidRPr="00624C6F">
        <w:rPr>
          <w:rFonts w:ascii="Cambria" w:hAnsi="Cambria" w:cs="Tahoma"/>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By 2015, official figures reported in the media from the Online Police Statistical System (SEPOL) and the National Interagency Security Force (FUSINA) indicated that the total number of violent deaths recorded through October 31 amounted to 4,266 homicides.</w:t>
      </w:r>
      <w:r w:rsidRPr="00624C6F">
        <w:rPr>
          <w:rStyle w:val="Refdenotaalpie"/>
          <w:rFonts w:ascii="Cambria" w:hAnsi="Cambria" w:cs="Tahoma"/>
          <w:sz w:val="20"/>
          <w:szCs w:val="20"/>
          <w:lang w:val="en-US"/>
        </w:rPr>
        <w:footnoteReference w:id="7"/>
      </w:r>
      <w:r w:rsidRPr="00624C6F">
        <w:rPr>
          <w:rFonts w:ascii="Cambria" w:hAnsi="Cambria" w:cs="Tahoma"/>
          <w:sz w:val="20"/>
          <w:szCs w:val="20"/>
          <w:lang w:val="en-US"/>
        </w:rPr>
        <w:t xml:space="preserve"> That figure was a reduction of 480 cases compared to the same period in 2014.</w:t>
      </w:r>
      <w:r w:rsidRPr="00624C6F">
        <w:rPr>
          <w:rStyle w:val="Refdenotaalpie"/>
          <w:rFonts w:ascii="Cambria" w:hAnsi="Cambria" w:cs="Tahoma"/>
          <w:sz w:val="20"/>
          <w:szCs w:val="20"/>
          <w:lang w:val="en-US"/>
        </w:rPr>
        <w:footnoteReference w:id="8"/>
      </w:r>
    </w:p>
    <w:p w:rsidR="001F2B92" w:rsidRPr="00624C6F" w:rsidRDefault="001F2B92" w:rsidP="001F2B92">
      <w:pPr>
        <w:pStyle w:val="Prrafodelista"/>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In its response to the draft of this report, the State of Honduras noted that one constant throughout the draft report of the IACHR is the grave situation of violence in Honduras, which has a greater impact on groups in a situation of vulnerability. The State indicated that as part of its new structure, it has therefore decided to create the Cabinet on Prevention, Peace, and Coexistence, which will be responsible for coming up with actions to combat insecurity, taking a comprehensive approach that empowers citizens to exercise their rights in a culture of peace and respect.</w:t>
      </w:r>
    </w:p>
    <w:p w:rsidR="001F2B92" w:rsidRPr="00624C6F" w:rsidRDefault="001F2B92" w:rsidP="001F2B92">
      <w:pPr>
        <w:pStyle w:val="Prrafodelista"/>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According to UNODC and civil society organizations, these levels of violence that have been recorded are the result of several factors among which are: the increase of organized crime and drug trafficking following the coup, due to ineffective maintenance of law and order</w:t>
      </w:r>
      <w:r w:rsidRPr="00624C6F">
        <w:rPr>
          <w:rStyle w:val="Refdenotaalpie"/>
          <w:rFonts w:ascii="Cambria" w:hAnsi="Cambria" w:cs="Tahoma"/>
          <w:sz w:val="20"/>
          <w:szCs w:val="20"/>
          <w:lang w:val="en-US"/>
        </w:rPr>
        <w:footnoteReference w:id="9"/>
      </w:r>
      <w:r w:rsidRPr="00624C6F">
        <w:rPr>
          <w:rFonts w:ascii="Cambria" w:hAnsi="Cambria" w:cs="Tahoma"/>
          <w:sz w:val="20"/>
          <w:szCs w:val="20"/>
          <w:lang w:val="en-US"/>
        </w:rPr>
        <w:t xml:space="preserve">; the phenomenon of gangs; a poor legal response leading to impunity; corruption; and </w:t>
      </w:r>
      <w:proofErr w:type="gramStart"/>
      <w:r w:rsidRPr="00624C6F">
        <w:rPr>
          <w:rFonts w:ascii="Cambria" w:hAnsi="Cambria" w:cs="Tahoma"/>
          <w:sz w:val="20"/>
          <w:szCs w:val="20"/>
          <w:lang w:val="en-US"/>
        </w:rPr>
        <w:t>high levels</w:t>
      </w:r>
      <w:proofErr w:type="gramEnd"/>
      <w:r w:rsidRPr="00624C6F">
        <w:rPr>
          <w:rFonts w:ascii="Cambria" w:hAnsi="Cambria" w:cs="Tahoma"/>
          <w:sz w:val="20"/>
          <w:szCs w:val="20"/>
          <w:lang w:val="en-US"/>
        </w:rPr>
        <w:t xml:space="preserve"> of poverty and inequality. Also, according to civil society organizations, the atmosphere of insecurity is partly caused by the police force, military police, and armed forces themselves, through their illegitimate use of force and sometimes in collusion with organized crime. In this regard, during the visit several organizations </w:t>
      </w:r>
      <w:proofErr w:type="gramStart"/>
      <w:r w:rsidRPr="00624C6F">
        <w:rPr>
          <w:rFonts w:ascii="Cambria" w:hAnsi="Cambria" w:cs="Tahoma"/>
          <w:sz w:val="20"/>
          <w:szCs w:val="20"/>
          <w:lang w:val="en-US"/>
        </w:rPr>
        <w:t>made reference</w:t>
      </w:r>
      <w:proofErr w:type="gramEnd"/>
      <w:r w:rsidRPr="00624C6F">
        <w:rPr>
          <w:rFonts w:ascii="Cambria" w:hAnsi="Cambria" w:cs="Tahoma"/>
          <w:sz w:val="20"/>
          <w:szCs w:val="20"/>
          <w:lang w:val="en-US"/>
        </w:rPr>
        <w:t xml:space="preserve"> to a growing militarization of the country and therefore a greater military presence in the areas experiencing the most conflict.</w:t>
      </w:r>
    </w:p>
    <w:p w:rsidR="001F2B92" w:rsidRPr="00624C6F" w:rsidRDefault="001F2B92" w:rsidP="001F2B92">
      <w:pPr>
        <w:pStyle w:val="Prrafodelista"/>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In fact, during its visit the Commission noted that one of the central pillars of the State’s response to the serious structural problems of violence, impunity, corruption, and organized crime in the country is the intervention of the Armed Forces in many spheres and functions. The Army actively participates in citizen security responsibilities through specialized forces such as “military police,” despite international standards indicating that citizen security should be the exclusive jurisdiction of a civilian police force, one that is respectful of human rights. The Honduran Army is also said to have an influence on the investigation and punishment of crimes involving organized crime,</w:t>
      </w:r>
      <w:r w:rsidRPr="00624C6F">
        <w:rPr>
          <w:rStyle w:val="Refdenotaalpie"/>
          <w:rFonts w:asciiTheme="majorHAnsi" w:hAnsiTheme="majorHAnsi" w:cs="Tahoma"/>
          <w:sz w:val="20"/>
          <w:szCs w:val="20"/>
          <w:lang w:val="en-US"/>
        </w:rPr>
        <w:footnoteReference w:id="10"/>
      </w:r>
      <w:r w:rsidRPr="00624C6F">
        <w:rPr>
          <w:rFonts w:asciiTheme="majorHAnsi" w:hAnsiTheme="majorHAnsi" w:cs="Tahoma"/>
          <w:sz w:val="20"/>
          <w:szCs w:val="20"/>
          <w:lang w:val="en-US"/>
        </w:rPr>
        <w:t xml:space="preserve"> through the National Defense and Security Council. This has led to the creation, </w:t>
      </w:r>
      <w:proofErr w:type="gramStart"/>
      <w:r w:rsidRPr="00624C6F">
        <w:rPr>
          <w:rFonts w:asciiTheme="majorHAnsi" w:hAnsiTheme="majorHAnsi" w:cs="Tahoma"/>
          <w:sz w:val="20"/>
          <w:szCs w:val="20"/>
          <w:lang w:val="en-US"/>
        </w:rPr>
        <w:t>in point of fact</w:t>
      </w:r>
      <w:proofErr w:type="gramEnd"/>
      <w:r w:rsidRPr="00624C6F">
        <w:rPr>
          <w:rFonts w:asciiTheme="majorHAnsi" w:hAnsiTheme="majorHAnsi" w:cs="Tahoma"/>
          <w:sz w:val="20"/>
          <w:szCs w:val="20"/>
          <w:lang w:val="en-US"/>
        </w:rPr>
        <w:t xml:space="preserve">, of a proceeding </w:t>
      </w:r>
      <w:r w:rsidRPr="00624C6F">
        <w:rPr>
          <w:rFonts w:asciiTheme="majorHAnsi" w:hAnsiTheme="majorHAnsi" w:cs="Tahoma"/>
          <w:sz w:val="20"/>
          <w:szCs w:val="20"/>
          <w:lang w:val="en-US"/>
        </w:rPr>
        <w:lastRenderedPageBreak/>
        <w:t xml:space="preserve">with characteristics that resemble a special jurisdiction for members of the military police. </w:t>
      </w:r>
    </w:p>
    <w:p w:rsidR="001F2B92" w:rsidRPr="00624C6F" w:rsidRDefault="001F2B92" w:rsidP="001F2B92">
      <w:pPr>
        <w:pStyle w:val="Prrafodelista"/>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 xml:space="preserve">The </w:t>
      </w:r>
      <w:r w:rsidRPr="00624C6F">
        <w:rPr>
          <w:rFonts w:asciiTheme="majorHAnsi" w:hAnsiTheme="majorHAnsi"/>
          <w:sz w:val="20"/>
          <w:szCs w:val="20"/>
          <w:lang w:val="en-US"/>
        </w:rPr>
        <w:t xml:space="preserve">Armed Forces are also involved in matters related to the civic education and training of children at “social risk,” through the “Guardians of the Nation” program. The Commission expressed its concern regarding the risks involved in the fact that children and young people between 5 and 23 years of age are being trained at military installations and are using militarized plazas, parks, and soccer fields. The Army also plays a role in the prison </w:t>
      </w:r>
      <w:proofErr w:type="gramStart"/>
      <w:r w:rsidRPr="00624C6F">
        <w:rPr>
          <w:rFonts w:asciiTheme="majorHAnsi" w:hAnsiTheme="majorHAnsi"/>
          <w:sz w:val="20"/>
          <w:szCs w:val="20"/>
          <w:lang w:val="en-US"/>
        </w:rPr>
        <w:t>system, and</w:t>
      </w:r>
      <w:proofErr w:type="gramEnd"/>
      <w:r w:rsidRPr="00624C6F">
        <w:rPr>
          <w:rFonts w:asciiTheme="majorHAnsi" w:hAnsiTheme="majorHAnsi"/>
          <w:sz w:val="20"/>
          <w:szCs w:val="20"/>
          <w:lang w:val="en-US"/>
        </w:rPr>
        <w:t xml:space="preserve"> is sent to carry out security tasks in areas where there are agrarian and land conflicts, such as in Bajo </w:t>
      </w:r>
      <w:proofErr w:type="spellStart"/>
      <w:r w:rsidRPr="00624C6F">
        <w:rPr>
          <w:rFonts w:asciiTheme="majorHAnsi" w:hAnsiTheme="majorHAnsi"/>
          <w:sz w:val="20"/>
          <w:szCs w:val="20"/>
          <w:lang w:val="en-US"/>
        </w:rPr>
        <w:t>Aguán</w:t>
      </w:r>
      <w:proofErr w:type="spellEnd"/>
      <w:r w:rsidRPr="00624C6F">
        <w:rPr>
          <w:rFonts w:asciiTheme="majorHAnsi" w:hAnsiTheme="majorHAnsi"/>
          <w:sz w:val="20"/>
          <w:szCs w:val="20"/>
          <w:lang w:val="en-US"/>
        </w:rPr>
        <w:t>.</w:t>
      </w:r>
      <w:r w:rsidRPr="00624C6F">
        <w:rPr>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sz w:val="20"/>
          <w:lang w:val="en-US"/>
        </w:rPr>
      </w:pPr>
      <w:r w:rsidRPr="00624C6F">
        <w:rPr>
          <w:rFonts w:ascii="Cambria" w:hAnsi="Cambria"/>
          <w:sz w:val="20"/>
          <w:lang w:val="en-US"/>
        </w:rPr>
        <w:t xml:space="preserve">Over time, the </w:t>
      </w:r>
      <w:proofErr w:type="gramStart"/>
      <w:r w:rsidRPr="00624C6F">
        <w:rPr>
          <w:rFonts w:ascii="Cambria" w:hAnsi="Cambria"/>
          <w:sz w:val="20"/>
          <w:lang w:val="en-US"/>
        </w:rPr>
        <w:t>high level</w:t>
      </w:r>
      <w:proofErr w:type="gramEnd"/>
      <w:r w:rsidRPr="00624C6F">
        <w:rPr>
          <w:rFonts w:ascii="Cambria" w:hAnsi="Cambria"/>
          <w:sz w:val="20"/>
          <w:lang w:val="en-US"/>
        </w:rPr>
        <w:t xml:space="preserve"> of violence in Honduras has generated a situation of insecurity among the population; this is of such a magnitude that it has resulted in the widespread possession and carrying of firearms, a right that is protected under existing law. Indeed, the Law on Control of Firearms, Ammunition, Explosives, and other Similar, allows anyone to request one or more licenses for the possession and carrying of firearms, and to register up to five firearms</w:t>
      </w:r>
      <w:r w:rsidRPr="00624C6F">
        <w:rPr>
          <w:rStyle w:val="Refdenotaalpie"/>
          <w:rFonts w:ascii="Cambria" w:hAnsi="Cambria"/>
          <w:sz w:val="20"/>
          <w:lang w:val="en-US"/>
        </w:rPr>
        <w:footnoteReference w:id="11"/>
      </w:r>
      <w:r w:rsidRPr="00624C6F">
        <w:rPr>
          <w:rFonts w:ascii="Cambria" w:hAnsi="Cambria"/>
          <w:sz w:val="20"/>
          <w:lang w:val="en-US"/>
        </w:rPr>
        <w:t>. It is estimated that in Honduras there are between 800,000 and 1,000,000 firearms in circulation, of which only 282,000 are registered.</w:t>
      </w:r>
      <w:r w:rsidRPr="00624C6F">
        <w:rPr>
          <w:rStyle w:val="Refdenotaalpie"/>
          <w:rFonts w:ascii="Cambria" w:hAnsi="Cambria"/>
          <w:sz w:val="20"/>
          <w:lang w:val="en-US"/>
        </w:rPr>
        <w:footnoteReference w:id="12"/>
      </w:r>
      <w:r w:rsidRPr="00624C6F">
        <w:rPr>
          <w:rFonts w:ascii="Cambria" w:hAnsi="Cambria"/>
          <w:sz w:val="20"/>
          <w:lang w:val="en-US"/>
        </w:rPr>
        <w:t xml:space="preserve"> In this sense, it is imperative that legislation on the use and possession of firearms be reviewed with the goal of regulating their sale, use, and carry permitting.</w:t>
      </w:r>
    </w:p>
    <w:p w:rsidR="001F2B92" w:rsidRPr="00624C6F" w:rsidRDefault="001F2B92" w:rsidP="001F2B92">
      <w:pPr>
        <w:ind w:left="547" w:hanging="547"/>
        <w:jc w:val="both"/>
        <w:rPr>
          <w:rFonts w:ascii="Cambria" w:hAnsi="Cambria"/>
          <w:sz w:val="20"/>
          <w:lang w:val="en-US"/>
        </w:rPr>
      </w:pPr>
    </w:p>
    <w:p w:rsidR="001F2B92" w:rsidRPr="00624C6F" w:rsidRDefault="001F2B92" w:rsidP="001F2B92">
      <w:pPr>
        <w:numPr>
          <w:ilvl w:val="0"/>
          <w:numId w:val="7"/>
        </w:numPr>
        <w:ind w:left="547" w:hanging="547"/>
        <w:jc w:val="both"/>
        <w:rPr>
          <w:rFonts w:ascii="Cambria" w:hAnsi="Cambria"/>
          <w:sz w:val="20"/>
          <w:lang w:val="en-US"/>
        </w:rPr>
      </w:pPr>
      <w:r w:rsidRPr="00624C6F">
        <w:rPr>
          <w:rFonts w:ascii="Cambria" w:hAnsi="Cambria"/>
          <w:sz w:val="20"/>
          <w:lang w:val="en-US"/>
        </w:rPr>
        <w:t>In this context, according to the report on the mission to Honduras of the Working Group on the use of mercenaries as a means of violating human rights and impeding the exercise of the right of peoples to self-determination, private security companies dominate and control the security sector in Honduras. The above-mentioned report refers to the existence of 60,000 private guards, many of which are illegal and unregistered, compared with 14,000 police officers.</w:t>
      </w:r>
      <w:r w:rsidRPr="00624C6F">
        <w:rPr>
          <w:rStyle w:val="Refdenotaalpie"/>
          <w:rFonts w:ascii="Cambria" w:hAnsi="Cambria"/>
          <w:sz w:val="20"/>
          <w:lang w:val="en-US"/>
        </w:rPr>
        <w:footnoteReference w:id="13"/>
      </w:r>
      <w:r w:rsidRPr="00624C6F">
        <w:rPr>
          <w:rFonts w:ascii="Cambria" w:hAnsi="Cambria"/>
          <w:sz w:val="20"/>
          <w:lang w:val="en-US"/>
        </w:rPr>
        <w:t xml:space="preserve"> On the basis of that report, structural and institutional weaknesses, together with the climate of violence and insecurity in the country and the fact that the State cannot guarantee security, have created an environment in which these companies have acquired power and are working without proper supervision and control, and hence with impunity.</w:t>
      </w:r>
      <w:r w:rsidRPr="00624C6F">
        <w:rPr>
          <w:rStyle w:val="Refdenotaalpie"/>
          <w:rFonts w:ascii="Cambria" w:hAnsi="Cambria"/>
          <w:sz w:val="20"/>
          <w:lang w:val="en-US"/>
        </w:rPr>
        <w:footnoteReference w:id="14"/>
      </w:r>
    </w:p>
    <w:p w:rsidR="001F2B92" w:rsidRPr="00624C6F" w:rsidRDefault="001F2B92" w:rsidP="001F2B92">
      <w:pPr>
        <w:ind w:left="547" w:hanging="547"/>
        <w:jc w:val="both"/>
        <w:rPr>
          <w:rFonts w:ascii="Cambria" w:hAnsi="Cambria"/>
          <w:sz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The </w:t>
      </w:r>
      <w:proofErr w:type="gramStart"/>
      <w:r w:rsidRPr="00624C6F">
        <w:rPr>
          <w:rFonts w:ascii="Cambria" w:hAnsi="Cambria" w:cs="Tahoma"/>
          <w:sz w:val="20"/>
          <w:szCs w:val="20"/>
          <w:lang w:val="en-US"/>
        </w:rPr>
        <w:t>high level</w:t>
      </w:r>
      <w:proofErr w:type="gramEnd"/>
      <w:r w:rsidRPr="00624C6F">
        <w:rPr>
          <w:rFonts w:ascii="Cambria" w:hAnsi="Cambria" w:cs="Tahoma"/>
          <w:sz w:val="20"/>
          <w:szCs w:val="20"/>
          <w:lang w:val="en-US"/>
        </w:rPr>
        <w:t xml:space="preserve"> of violence, and the lack of results of the State’s efforts to combat it, has led in recent years to serious harm against people engaged in different sectors of society, in particular those affected by poverty and social exclusion. As an example, the level of violence against children would have increased in the country </w:t>
      </w:r>
      <w:r w:rsidRPr="00624C6F">
        <w:rPr>
          <w:rFonts w:ascii="Cambria" w:hAnsi="Cambria" w:cs="Tahoma"/>
          <w:sz w:val="20"/>
          <w:szCs w:val="20"/>
          <w:lang w:val="en-US"/>
        </w:rPr>
        <w:lastRenderedPageBreak/>
        <w:t>and therefore has put children at a greater situation for vulnerability. Also, the situation of violence against the legal profession in the country is quite serious. According to information published by the media, as of December 2014 approximately 84 lawyers had been killed in the preceding five years. In this context, in early 2015 Honduran lawyers reported receiving death threats almost daily. In January 2015, 15 lawyers were murdered for practicing their profession.</w:t>
      </w:r>
      <w:r w:rsidRPr="00624C6F">
        <w:rPr>
          <w:rStyle w:val="Refdenotaalpie"/>
          <w:rFonts w:ascii="Cambria" w:hAnsi="Cambria" w:cs="Tahoma"/>
          <w:sz w:val="20"/>
          <w:szCs w:val="20"/>
          <w:lang w:val="en-US"/>
        </w:rPr>
        <w:footnoteReference w:id="15"/>
      </w:r>
      <w:r w:rsidRPr="00624C6F">
        <w:rPr>
          <w:rFonts w:ascii="Cambria" w:hAnsi="Cambria" w:cs="Tahoma"/>
          <w:sz w:val="20"/>
          <w:szCs w:val="20"/>
          <w:lang w:val="en-US"/>
        </w:rPr>
        <w:t xml:space="preserve"> </w:t>
      </w:r>
    </w:p>
    <w:p w:rsidR="001F2B92" w:rsidRPr="00624C6F" w:rsidRDefault="001F2B92" w:rsidP="001F2B92">
      <w:pPr>
        <w:pStyle w:val="Prrafodelista"/>
        <w:ind w:left="547" w:hanging="547"/>
        <w:rPr>
          <w:rFonts w:ascii="Cambria" w:hAnsi="Cambria" w:cs="Tahoma"/>
          <w:sz w:val="20"/>
          <w:szCs w:val="20"/>
          <w:lang w:val="en-US"/>
        </w:rPr>
      </w:pPr>
    </w:p>
    <w:p w:rsidR="001F2B92" w:rsidRPr="00624C6F" w:rsidRDefault="0086515C" w:rsidP="0086515C">
      <w:pPr>
        <w:jc w:val="both"/>
        <w:rPr>
          <w:rFonts w:ascii="Cambria" w:hAnsi="Cambria" w:cs="Tahoma"/>
          <w:sz w:val="20"/>
          <w:szCs w:val="20"/>
          <w:lang w:val="en-US"/>
        </w:rPr>
      </w:pPr>
      <w:r>
        <w:rPr>
          <w:rFonts w:ascii="Cambria" w:hAnsi="Cambria" w:cs="Tahoma"/>
          <w:sz w:val="20"/>
          <w:szCs w:val="20"/>
          <w:lang w:val="en-US"/>
        </w:rPr>
        <w:t>[…]</w:t>
      </w:r>
    </w:p>
    <w:p w:rsidR="001F2B92" w:rsidRPr="005D04F5" w:rsidRDefault="001F2B92" w:rsidP="00624C6F">
      <w:pPr>
        <w:pStyle w:val="Ttulo3"/>
        <w:rPr>
          <w:lang w:val="en-US"/>
        </w:rPr>
      </w:pPr>
      <w:bookmarkStart w:id="4" w:name="_Toc442694861"/>
      <w:r w:rsidRPr="005D04F5">
        <w:rPr>
          <w:lang w:val="en-US"/>
        </w:rPr>
        <w:t>Indigenous Peoples and Afro-descendants</w:t>
      </w:r>
      <w:bookmarkEnd w:id="4"/>
    </w:p>
    <w:p w:rsidR="001F2B92" w:rsidRPr="00624C6F" w:rsidRDefault="001F2B92" w:rsidP="00624C6F">
      <w:pPr>
        <w:pStyle w:val="Ttulo4"/>
      </w:pPr>
      <w:bookmarkStart w:id="5" w:name="_Toc442694862"/>
      <w:proofErr w:type="spellStart"/>
      <w:r w:rsidRPr="00624C6F">
        <w:t>Violence</w:t>
      </w:r>
      <w:bookmarkEnd w:id="5"/>
      <w:proofErr w:type="spellEnd"/>
    </w:p>
    <w:p w:rsidR="001F2B92" w:rsidRPr="00C30382" w:rsidRDefault="001F2B92" w:rsidP="00C30382">
      <w:pPr>
        <w:pStyle w:val="Parrnumerado"/>
        <w:numPr>
          <w:ilvl w:val="0"/>
          <w:numId w:val="21"/>
        </w:numPr>
        <w:rPr>
          <w:rFonts w:cs="Tahoma"/>
        </w:rPr>
      </w:pPr>
      <w:r w:rsidRPr="00C30382">
        <w:t>The Commission has previously expressed concern about the challenges faced by indigenous peoples, mainly relating to: (</w:t>
      </w:r>
      <w:proofErr w:type="spellStart"/>
      <w:r w:rsidRPr="00C30382">
        <w:t>i</w:t>
      </w:r>
      <w:proofErr w:type="spellEnd"/>
      <w:r w:rsidRPr="00C30382">
        <w:t>) the high levels of insecurity and violence arising from the imposition of project and investment plans and natural resource mining concessions on their ancestral territories; (ii) forced evictions through the excessive use of force and (iii) the persecution and criminalization of indigenous leaders for reasons related to the defense of their ancestral territories.</w:t>
      </w:r>
      <w:r w:rsidRPr="00624C6F">
        <w:rPr>
          <w:rStyle w:val="Refdenotaalpie"/>
        </w:rPr>
        <w:footnoteReference w:id="16"/>
      </w:r>
      <w:r w:rsidRPr="00C30382">
        <w:t xml:space="preserve"> Violence against indigenous peoples to a large extent grows out of the struggle for land and territory, which is exacerbated by the conditions of inequality and discrimination faced by these groups and the attendant barriers to their access to justice.</w:t>
      </w:r>
      <w:r w:rsidR="00BB5ED1" w:rsidRPr="00C30382">
        <w:t xml:space="preserve"> </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During its visit, the Commission received alarming information about murders, violence and death threats against indigenous and Afro-descendants leaders, particularly those who defend their territories and natural resources in the context of mega-projects carried out without prior and informed consultation with the objective of obtaining consent.</w:t>
      </w:r>
      <w:r w:rsidRPr="00624C6F">
        <w:rPr>
          <w:rStyle w:val="Refdenotaalpie"/>
          <w:rFonts w:asciiTheme="majorHAnsi" w:hAnsiTheme="majorHAnsi" w:cs="Tahoma"/>
          <w:sz w:val="20"/>
          <w:szCs w:val="20"/>
          <w:lang w:val="en-US"/>
        </w:rPr>
        <w:footnoteReference w:id="17"/>
      </w:r>
      <w:r w:rsidRPr="00624C6F">
        <w:rPr>
          <w:rFonts w:asciiTheme="majorHAnsi" w:hAnsiTheme="majorHAnsi" w:cs="Tahoma"/>
          <w:sz w:val="20"/>
          <w:szCs w:val="20"/>
          <w:lang w:val="en-US"/>
        </w:rPr>
        <w:t xml:space="preserve"> Among these killings, </w:t>
      </w:r>
      <w:r w:rsidRPr="00624C6F">
        <w:rPr>
          <w:rStyle w:val="Hipervnculo"/>
          <w:rFonts w:asciiTheme="majorHAnsi" w:hAnsiTheme="majorHAnsi"/>
          <w:color w:val="auto"/>
          <w:sz w:val="20"/>
          <w:szCs w:val="20"/>
          <w:u w:val="none"/>
          <w:lang w:val="en-US"/>
        </w:rPr>
        <w:t xml:space="preserve">the IACHR was informed of </w:t>
      </w:r>
      <w:r w:rsidRPr="00624C6F">
        <w:rPr>
          <w:rStyle w:val="Hipervnculo"/>
          <w:rFonts w:asciiTheme="majorHAnsi" w:hAnsiTheme="majorHAnsi"/>
          <w:color w:val="auto"/>
          <w:sz w:val="20"/>
          <w:szCs w:val="20"/>
          <w:u w:val="none"/>
          <w:lang w:val="en-US"/>
        </w:rPr>
        <w:lastRenderedPageBreak/>
        <w:t xml:space="preserve">the murder of the </w:t>
      </w:r>
      <w:proofErr w:type="spellStart"/>
      <w:r w:rsidRPr="00624C6F">
        <w:rPr>
          <w:rStyle w:val="Hipervnculo"/>
          <w:rFonts w:asciiTheme="majorHAnsi" w:hAnsiTheme="majorHAnsi"/>
          <w:color w:val="auto"/>
          <w:sz w:val="20"/>
          <w:szCs w:val="20"/>
          <w:u w:val="none"/>
          <w:lang w:val="en-US"/>
        </w:rPr>
        <w:t>Lenca</w:t>
      </w:r>
      <w:proofErr w:type="spellEnd"/>
      <w:r w:rsidRPr="00624C6F">
        <w:rPr>
          <w:rStyle w:val="Hipervnculo"/>
          <w:rFonts w:asciiTheme="majorHAnsi" w:hAnsiTheme="majorHAnsi"/>
          <w:color w:val="auto"/>
          <w:sz w:val="20"/>
          <w:szCs w:val="20"/>
          <w:u w:val="none"/>
          <w:lang w:val="en-US"/>
        </w:rPr>
        <w:t xml:space="preserve"> indigenous leader Tomas Garcia in July 2013, community leader and active member of the Civic Council of Popular and Indigenous Organizations of Honduras (COPINH) who received several bullet wounds allegedly from members of the Honduran Army, while participating in a peaceful sit-in at </w:t>
      </w:r>
      <w:proofErr w:type="spellStart"/>
      <w:r w:rsidRPr="00624C6F">
        <w:rPr>
          <w:rFonts w:asciiTheme="majorHAnsi" w:hAnsiTheme="majorHAnsi" w:cs="Arial"/>
          <w:sz w:val="20"/>
          <w:szCs w:val="20"/>
          <w:lang w:val="en-US"/>
        </w:rPr>
        <w:t>Achotal</w:t>
      </w:r>
      <w:proofErr w:type="spellEnd"/>
      <w:r w:rsidRPr="00624C6F">
        <w:rPr>
          <w:rFonts w:asciiTheme="majorHAnsi" w:hAnsiTheme="majorHAnsi" w:cs="Arial"/>
          <w:sz w:val="20"/>
          <w:szCs w:val="20"/>
          <w:lang w:val="en-US"/>
        </w:rPr>
        <w:t>, Río Blanco</w:t>
      </w:r>
      <w:r w:rsidRPr="00624C6F">
        <w:rPr>
          <w:rStyle w:val="Hipervnculo"/>
          <w:rFonts w:asciiTheme="majorHAnsi" w:hAnsiTheme="majorHAnsi"/>
          <w:color w:val="auto"/>
          <w:sz w:val="20"/>
          <w:szCs w:val="20"/>
          <w:u w:val="none"/>
          <w:lang w:val="en-US"/>
        </w:rPr>
        <w:t>, Department of Intibucá.</w:t>
      </w:r>
      <w:r w:rsidRPr="00624C6F">
        <w:rPr>
          <w:rStyle w:val="Refdenotaalpie"/>
          <w:rFonts w:asciiTheme="majorHAnsi" w:hAnsiTheme="majorHAnsi"/>
          <w:sz w:val="20"/>
          <w:szCs w:val="20"/>
          <w:lang w:val="en-US"/>
        </w:rPr>
        <w:footnoteReference w:id="18"/>
      </w:r>
      <w:r w:rsidRPr="00624C6F">
        <w:rPr>
          <w:rStyle w:val="Hipervnculo"/>
          <w:rFonts w:asciiTheme="majorHAnsi" w:hAnsiTheme="majorHAnsi"/>
          <w:color w:val="auto"/>
          <w:sz w:val="20"/>
          <w:szCs w:val="20"/>
          <w:u w:val="none"/>
          <w:lang w:val="en-US"/>
        </w:rPr>
        <w:t xml:space="preserve"> Concerning threats, the IACHR received information on an alleged incident against </w:t>
      </w:r>
      <w:r w:rsidRPr="00624C6F">
        <w:rPr>
          <w:rFonts w:asciiTheme="majorHAnsi" w:hAnsiTheme="majorHAnsi"/>
          <w:sz w:val="20"/>
          <w:szCs w:val="20"/>
          <w:lang w:val="en-US"/>
        </w:rPr>
        <w:t>María Santos Domínguez</w:t>
      </w:r>
      <w:r w:rsidRPr="00624C6F">
        <w:rPr>
          <w:rStyle w:val="Hipervnculo"/>
          <w:rFonts w:asciiTheme="majorHAnsi" w:hAnsiTheme="majorHAnsi"/>
          <w:color w:val="auto"/>
          <w:sz w:val="20"/>
          <w:szCs w:val="20"/>
          <w:u w:val="none"/>
          <w:lang w:val="en-US"/>
        </w:rPr>
        <w:t xml:space="preserve">, an indigenous defender and coordinator of the Indigenous Council of </w:t>
      </w:r>
      <w:r w:rsidRPr="00624C6F">
        <w:rPr>
          <w:rFonts w:asciiTheme="majorHAnsi" w:hAnsiTheme="majorHAnsi"/>
          <w:sz w:val="20"/>
          <w:szCs w:val="20"/>
          <w:lang w:val="en-US"/>
        </w:rPr>
        <w:t>Río Blanco</w:t>
      </w:r>
      <w:r w:rsidRPr="00624C6F">
        <w:rPr>
          <w:rStyle w:val="Hipervnculo"/>
          <w:rFonts w:asciiTheme="majorHAnsi" w:hAnsiTheme="majorHAnsi"/>
          <w:color w:val="auto"/>
          <w:sz w:val="20"/>
          <w:szCs w:val="20"/>
          <w:lang w:val="en-US"/>
        </w:rPr>
        <w:t xml:space="preserve"> </w:t>
      </w:r>
      <w:r w:rsidRPr="00624C6F">
        <w:rPr>
          <w:rStyle w:val="Hipervnculo"/>
          <w:rFonts w:asciiTheme="majorHAnsi" w:hAnsiTheme="majorHAnsi"/>
          <w:color w:val="auto"/>
          <w:sz w:val="20"/>
          <w:szCs w:val="20"/>
          <w:u w:val="none"/>
          <w:lang w:val="en-US"/>
        </w:rPr>
        <w:t>and Northern Intibucá Sector and member of COPINH.</w:t>
      </w:r>
      <w:r w:rsidR="00BB5ED1" w:rsidRPr="00624C6F">
        <w:rPr>
          <w:rStyle w:val="Hipervnculo"/>
          <w:rFonts w:asciiTheme="majorHAnsi" w:hAnsiTheme="majorHAnsi"/>
          <w:color w:val="auto"/>
          <w:sz w:val="20"/>
          <w:szCs w:val="20"/>
          <w:u w:val="none"/>
          <w:lang w:val="en-US"/>
        </w:rPr>
        <w:t xml:space="preserve"> </w:t>
      </w:r>
      <w:r w:rsidRPr="00624C6F">
        <w:rPr>
          <w:rStyle w:val="Hipervnculo"/>
          <w:rFonts w:asciiTheme="majorHAnsi" w:hAnsiTheme="majorHAnsi"/>
          <w:color w:val="auto"/>
          <w:sz w:val="20"/>
          <w:szCs w:val="20"/>
          <w:u w:val="none"/>
          <w:lang w:val="en-US"/>
        </w:rPr>
        <w:t>On March 5, 2015, when returning home,</w:t>
      </w:r>
      <w:r w:rsidRPr="00624C6F">
        <w:rPr>
          <w:rFonts w:asciiTheme="majorHAnsi" w:hAnsiTheme="majorHAnsi"/>
          <w:sz w:val="20"/>
          <w:szCs w:val="20"/>
          <w:lang w:val="en-US"/>
        </w:rPr>
        <w:t xml:space="preserve"> María Santos Domínguez</w:t>
      </w:r>
      <w:r w:rsidRPr="00624C6F">
        <w:rPr>
          <w:rStyle w:val="Hipervnculo"/>
          <w:rFonts w:asciiTheme="majorHAnsi" w:hAnsiTheme="majorHAnsi"/>
          <w:color w:val="auto"/>
          <w:sz w:val="20"/>
          <w:szCs w:val="20"/>
          <w:u w:val="none"/>
          <w:lang w:val="en-US"/>
        </w:rPr>
        <w:t xml:space="preserve"> was surrounded by seven individuals who attacked her with sticks, stones and a machete. Her husband and son came to her rescue and were also attacked; her son lost an ear.</w:t>
      </w:r>
      <w:r w:rsidRPr="00624C6F">
        <w:rPr>
          <w:rStyle w:val="Refdenotaalpie"/>
          <w:rFonts w:asciiTheme="majorHAnsi" w:hAnsiTheme="majorHAnsi"/>
          <w:sz w:val="20"/>
          <w:szCs w:val="20"/>
          <w:lang w:val="en-US"/>
        </w:rPr>
        <w:footnoteReference w:id="19"/>
      </w:r>
      <w:r w:rsidRPr="00624C6F">
        <w:rPr>
          <w:rFonts w:asciiTheme="majorHAnsi" w:hAnsiTheme="majorHAnsi" w:cs="Tahoma"/>
          <w:sz w:val="20"/>
          <w:szCs w:val="20"/>
          <w:lang w:val="en-US"/>
        </w:rPr>
        <w:t xml:space="preserve"> A female defender of indigenous rights in La Ceiba informed the Commission: "[as] they told me, they will kill me. I'm not afraid. I am exposed, waiting for death”.</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As the Commission has mentioned, many of the attacks against the life and personal integrity of indigenous leaders and defenders are intended to reduce territorial and natural resource defense and protection activities, as well as the defense of the right to autonomy and cultural identity. According to information received, as of October 2014, there have been 27 leaders prosecuted for crimes such as theft of land, damage to the environment and private property, among others.</w:t>
      </w:r>
      <w:r w:rsidRPr="00624C6F">
        <w:rPr>
          <w:rStyle w:val="Refdenotaalpie"/>
          <w:rFonts w:asciiTheme="majorHAnsi" w:hAnsiTheme="majorHAnsi"/>
          <w:sz w:val="20"/>
          <w:szCs w:val="20"/>
          <w:lang w:val="en-US"/>
        </w:rPr>
        <w:footnoteReference w:id="20"/>
      </w:r>
      <w:r w:rsidRPr="00624C6F">
        <w:rPr>
          <w:rFonts w:asciiTheme="majorHAnsi" w:hAnsiTheme="majorHAnsi"/>
          <w:sz w:val="20"/>
          <w:szCs w:val="20"/>
          <w:lang w:val="en-US"/>
        </w:rPr>
        <w:t xml:space="preserve"> According to the Commission, the acts of aggression, attacks and harassment of leaders, while severely altering cultural integrity, can also contribute to the breakdown of community cohesion around the defense of their rights.</w:t>
      </w:r>
      <w:r w:rsidRPr="00624C6F">
        <w:rPr>
          <w:rStyle w:val="Refdenotaalpie"/>
          <w:rFonts w:asciiTheme="majorHAnsi" w:hAnsiTheme="majorHAnsi"/>
          <w:sz w:val="20"/>
          <w:szCs w:val="20"/>
          <w:lang w:val="en-US"/>
        </w:rPr>
        <w:footnoteReference w:id="21"/>
      </w:r>
      <w:r w:rsidRPr="00624C6F">
        <w:rPr>
          <w:rFonts w:asciiTheme="majorHAnsi" w:hAnsiTheme="majorHAnsi"/>
          <w:sz w:val="20"/>
          <w:szCs w:val="20"/>
          <w:lang w:val="en-US"/>
        </w:rPr>
        <w:t xml:space="preserve"> </w:t>
      </w:r>
    </w:p>
    <w:p w:rsidR="001F2B92" w:rsidRPr="00624C6F" w:rsidRDefault="001F2B92" w:rsidP="001F2B92">
      <w:pPr>
        <w:pStyle w:val="Prrafodelista"/>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Among some of the serious cases of which the Commission is aware is the situation of the </w:t>
      </w:r>
      <w:proofErr w:type="spellStart"/>
      <w:r w:rsidRPr="00624C6F">
        <w:rPr>
          <w:rFonts w:asciiTheme="majorHAnsi" w:hAnsiTheme="majorHAnsi"/>
          <w:sz w:val="20"/>
          <w:szCs w:val="20"/>
          <w:lang w:val="en-US"/>
        </w:rPr>
        <w:t>Tolupan</w:t>
      </w:r>
      <w:proofErr w:type="spellEnd"/>
      <w:r w:rsidRPr="00624C6F">
        <w:rPr>
          <w:rFonts w:asciiTheme="majorHAnsi" w:hAnsiTheme="majorHAnsi"/>
          <w:sz w:val="20"/>
          <w:szCs w:val="20"/>
          <w:lang w:val="en-US"/>
        </w:rPr>
        <w:t xml:space="preserve"> people, on whose ancestral territory several mining exploitation and hydroelectric dam projects are being developed without consultation. In 2013, three indigenous </w:t>
      </w:r>
      <w:proofErr w:type="spellStart"/>
      <w:r w:rsidRPr="00624C6F">
        <w:rPr>
          <w:rFonts w:asciiTheme="majorHAnsi" w:hAnsiTheme="majorHAnsi"/>
          <w:sz w:val="20"/>
          <w:szCs w:val="20"/>
          <w:lang w:val="en-US"/>
        </w:rPr>
        <w:t>Tolupanes</w:t>
      </w:r>
      <w:proofErr w:type="spellEnd"/>
      <w:r w:rsidRPr="00624C6F">
        <w:rPr>
          <w:rFonts w:asciiTheme="majorHAnsi" w:hAnsiTheme="majorHAnsi"/>
          <w:sz w:val="20"/>
          <w:szCs w:val="20"/>
          <w:lang w:val="en-US"/>
        </w:rPr>
        <w:t xml:space="preserve"> were allegedly killed because of their struggle in defense of </w:t>
      </w:r>
      <w:r w:rsidRPr="00624C6F">
        <w:rPr>
          <w:rFonts w:asciiTheme="majorHAnsi" w:hAnsiTheme="majorHAnsi"/>
          <w:sz w:val="20"/>
          <w:szCs w:val="20"/>
          <w:lang w:val="en-US"/>
        </w:rPr>
        <w:lastRenderedPageBreak/>
        <w:t xml:space="preserve">the natural resources in their community, San Francisco </w:t>
      </w:r>
      <w:proofErr w:type="spellStart"/>
      <w:r w:rsidRPr="00624C6F">
        <w:rPr>
          <w:rFonts w:asciiTheme="majorHAnsi" w:hAnsiTheme="majorHAnsi"/>
          <w:sz w:val="20"/>
          <w:szCs w:val="20"/>
          <w:lang w:val="en-US"/>
        </w:rPr>
        <w:t>Locomapa</w:t>
      </w:r>
      <w:proofErr w:type="spellEnd"/>
      <w:r w:rsidRPr="00624C6F">
        <w:rPr>
          <w:rFonts w:asciiTheme="majorHAnsi" w:hAnsiTheme="majorHAnsi"/>
          <w:sz w:val="20"/>
          <w:szCs w:val="20"/>
          <w:lang w:val="en-US"/>
        </w:rPr>
        <w:t>, Yoro.</w:t>
      </w:r>
      <w:r w:rsidRPr="00624C6F">
        <w:rPr>
          <w:rStyle w:val="Refdenotaalpie"/>
          <w:rFonts w:asciiTheme="majorHAnsi" w:hAnsiTheme="majorHAnsi" w:cs="Tahoma"/>
          <w:sz w:val="20"/>
          <w:szCs w:val="20"/>
          <w:lang w:val="en-US"/>
        </w:rPr>
        <w:footnoteReference w:id="22"/>
      </w:r>
      <w:r w:rsidRPr="00624C6F">
        <w:rPr>
          <w:rFonts w:asciiTheme="majorHAnsi" w:hAnsiTheme="majorHAnsi"/>
          <w:sz w:val="20"/>
          <w:szCs w:val="20"/>
          <w:lang w:val="en-US"/>
        </w:rPr>
        <w:t xml:space="preserve"> In this context, on December 19, 2013, the Commission requested the adoption of precautionary measures for the members of the Wide Movement for Dignity and Justice (MADJ) and their families after they received a series of threats, harassment and violence, because of their work in defense of the natural resources of indigenous peoples in this area.</w:t>
      </w:r>
      <w:r w:rsidRPr="00624C6F">
        <w:rPr>
          <w:rStyle w:val="Refdenotaalpie"/>
          <w:rFonts w:asciiTheme="majorHAnsi" w:hAnsiTheme="majorHAnsi" w:cs="Tahoma"/>
          <w:sz w:val="20"/>
          <w:szCs w:val="20"/>
          <w:lang w:val="en-US"/>
        </w:rPr>
        <w:t xml:space="preserve"> </w:t>
      </w:r>
      <w:r w:rsidRPr="00624C6F">
        <w:rPr>
          <w:rStyle w:val="Refdenotaalpie"/>
          <w:rFonts w:asciiTheme="majorHAnsi" w:hAnsiTheme="majorHAnsi" w:cs="Tahoma"/>
          <w:sz w:val="20"/>
          <w:szCs w:val="20"/>
          <w:lang w:val="en-US"/>
        </w:rPr>
        <w:footnoteReference w:id="23"/>
      </w:r>
      <w:r w:rsidRPr="00624C6F">
        <w:rPr>
          <w:rFonts w:asciiTheme="majorHAnsi" w:hAnsiTheme="majorHAnsi"/>
          <w:sz w:val="20"/>
          <w:szCs w:val="20"/>
          <w:lang w:val="en-US"/>
        </w:rPr>
        <w:t xml:space="preserve"> Although the precautionary measures are in force, the information received indicates that the violence against this community and against the beneficiaries of the measures has not stopped. In April 2015, Marcia Luis Reyes, husband of Vilma Consuelo Soto, a beneficiary of the measures, was stabbed to death.</w:t>
      </w:r>
      <w:r w:rsidRPr="00624C6F">
        <w:rPr>
          <w:rStyle w:val="Refdenotaalpie"/>
          <w:rFonts w:asciiTheme="majorHAnsi" w:hAnsiTheme="majorHAnsi"/>
          <w:sz w:val="20"/>
          <w:szCs w:val="20"/>
          <w:lang w:val="en-US"/>
        </w:rPr>
        <w:t xml:space="preserve"> </w:t>
      </w:r>
      <w:r w:rsidRPr="00624C6F">
        <w:rPr>
          <w:rStyle w:val="Refdenotaalpie"/>
          <w:rFonts w:asciiTheme="majorHAnsi" w:hAnsiTheme="majorHAnsi"/>
          <w:sz w:val="20"/>
          <w:szCs w:val="20"/>
          <w:lang w:val="en-US"/>
        </w:rPr>
        <w:footnoteReference w:id="24"/>
      </w:r>
      <w:r w:rsidRPr="00624C6F">
        <w:rPr>
          <w:rFonts w:asciiTheme="majorHAnsi" w:hAnsiTheme="majorHAnsi"/>
          <w:sz w:val="20"/>
          <w:szCs w:val="20"/>
          <w:lang w:val="en-US"/>
        </w:rPr>
        <w:t xml:space="preserve"> According to published information, on May 22, 2015, Vilma Consuelo Soto was the victim of an attempt on her life when a neighbor came to her home and fired three shots.</w:t>
      </w:r>
      <w:r w:rsidRPr="00624C6F">
        <w:rPr>
          <w:rStyle w:val="Refdenotaalpie"/>
          <w:rFonts w:asciiTheme="majorHAnsi" w:hAnsiTheme="majorHAnsi"/>
          <w:sz w:val="20"/>
          <w:szCs w:val="20"/>
          <w:lang w:val="en-US"/>
        </w:rPr>
        <w:footnoteReference w:id="25"/>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The situation of indigenous and Afro-descendant peoples is aggravated by conflicts over territory, whether because of mining or tourism projects or other projects aimed at developing natural resources.</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Civil society organizations reported that there are 837 potential mining projects, which in territorial terms would account for almost 35% of the nation's territory.</w:t>
      </w:r>
      <w:r w:rsidRPr="00624C6F">
        <w:rPr>
          <w:rStyle w:val="Refdenotaalpie"/>
          <w:rFonts w:asciiTheme="majorHAnsi" w:hAnsiTheme="majorHAnsi" w:cs="Tahoma"/>
          <w:sz w:val="20"/>
          <w:szCs w:val="20"/>
          <w:lang w:val="en-US"/>
        </w:rPr>
        <w:footnoteReference w:id="26"/>
      </w:r>
      <w:r w:rsidRPr="00624C6F">
        <w:rPr>
          <w:rFonts w:asciiTheme="majorHAnsi" w:hAnsiTheme="majorHAnsi" w:cs="Tahoma"/>
          <w:sz w:val="20"/>
          <w:szCs w:val="20"/>
          <w:lang w:val="en-US"/>
        </w:rPr>
        <w:t xml:space="preserve"> Civil society pointed out to the IACHR that there are 98 mining concessions in the departments of Lempira and Santa Bárbara. It also reported that there are 76 hydropower projects with completed feasibility studies and/or operating contracts approved in 14 of the country's 18 departments (Atlántida, Colón, Comayagua, Copán, Cortés Francisco Morazán, </w:t>
      </w:r>
      <w:proofErr w:type="spellStart"/>
      <w:r w:rsidRPr="00624C6F">
        <w:rPr>
          <w:rFonts w:asciiTheme="majorHAnsi" w:hAnsiTheme="majorHAnsi" w:cs="Tahoma"/>
          <w:sz w:val="20"/>
          <w:szCs w:val="20"/>
          <w:lang w:val="en-US"/>
        </w:rPr>
        <w:t>Intibuca</w:t>
      </w:r>
      <w:proofErr w:type="spellEnd"/>
      <w:r w:rsidRPr="00624C6F">
        <w:rPr>
          <w:rFonts w:asciiTheme="majorHAnsi" w:hAnsiTheme="majorHAnsi" w:cs="Tahoma"/>
          <w:sz w:val="20"/>
          <w:szCs w:val="20"/>
          <w:lang w:val="en-US"/>
        </w:rPr>
        <w:t xml:space="preserve">, La Paz, Lempira, Ocotepeque, Olancho, </w:t>
      </w:r>
      <w:proofErr w:type="spellStart"/>
      <w:r w:rsidRPr="00624C6F">
        <w:rPr>
          <w:rFonts w:asciiTheme="majorHAnsi" w:hAnsiTheme="majorHAnsi" w:cs="Tahoma"/>
          <w:sz w:val="20"/>
          <w:szCs w:val="20"/>
          <w:lang w:val="en-US"/>
        </w:rPr>
        <w:t>Patuca</w:t>
      </w:r>
      <w:proofErr w:type="spellEnd"/>
      <w:r w:rsidRPr="00624C6F">
        <w:rPr>
          <w:rFonts w:asciiTheme="majorHAnsi" w:hAnsiTheme="majorHAnsi" w:cs="Tahoma"/>
          <w:sz w:val="20"/>
          <w:szCs w:val="20"/>
          <w:lang w:val="en-US"/>
        </w:rPr>
        <w:t xml:space="preserve">, Santa Bárbara, and Yoro). </w:t>
      </w:r>
    </w:p>
    <w:p w:rsidR="001F2B92" w:rsidRPr="00624C6F" w:rsidRDefault="001F2B92" w:rsidP="001F2B92">
      <w:pPr>
        <w:pStyle w:val="Prrafodelista"/>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 xml:space="preserve">The situation of the Garifuna community of Barra </w:t>
      </w:r>
      <w:proofErr w:type="spellStart"/>
      <w:r w:rsidRPr="00624C6F">
        <w:rPr>
          <w:rFonts w:asciiTheme="majorHAnsi" w:hAnsiTheme="majorHAnsi" w:cs="Tahoma"/>
          <w:sz w:val="20"/>
          <w:szCs w:val="20"/>
          <w:lang w:val="en-US"/>
        </w:rPr>
        <w:t>Vieja</w:t>
      </w:r>
      <w:proofErr w:type="spellEnd"/>
      <w:r w:rsidRPr="00624C6F">
        <w:rPr>
          <w:rFonts w:asciiTheme="majorHAnsi" w:hAnsiTheme="majorHAnsi" w:cs="Tahoma"/>
          <w:sz w:val="20"/>
          <w:szCs w:val="20"/>
          <w:lang w:val="en-US"/>
        </w:rPr>
        <w:t xml:space="preserve">, which the IACHR visited, is an example of a land-related conflict associated with tourism investment. The members of this community, in the city of </w:t>
      </w:r>
      <w:proofErr w:type="spellStart"/>
      <w:r w:rsidRPr="00624C6F">
        <w:rPr>
          <w:rFonts w:asciiTheme="majorHAnsi" w:hAnsiTheme="majorHAnsi" w:cs="Tahoma"/>
          <w:sz w:val="20"/>
          <w:szCs w:val="20"/>
          <w:lang w:val="en-US"/>
        </w:rPr>
        <w:t>Tela</w:t>
      </w:r>
      <w:proofErr w:type="spellEnd"/>
      <w:r w:rsidRPr="00624C6F">
        <w:rPr>
          <w:rFonts w:asciiTheme="majorHAnsi" w:hAnsiTheme="majorHAnsi" w:cs="Tahoma"/>
          <w:sz w:val="20"/>
          <w:szCs w:val="20"/>
          <w:lang w:val="en-US"/>
        </w:rPr>
        <w:t>, were reportedly victims of orders evicting them from their lands to clear the way for tourism investment projects.</w:t>
      </w:r>
      <w:r w:rsidRPr="00624C6F">
        <w:rPr>
          <w:rStyle w:val="Refdenotaalpie"/>
          <w:rFonts w:asciiTheme="majorHAnsi" w:hAnsiTheme="majorHAnsi" w:cs="Tahoma"/>
          <w:sz w:val="20"/>
          <w:szCs w:val="20"/>
          <w:lang w:val="en-US"/>
        </w:rPr>
        <w:footnoteReference w:id="27"/>
      </w:r>
      <w:r w:rsidRPr="00624C6F">
        <w:rPr>
          <w:rFonts w:asciiTheme="majorHAnsi" w:hAnsiTheme="majorHAnsi" w:cs="Tahoma"/>
          <w:sz w:val="20"/>
          <w:szCs w:val="20"/>
          <w:lang w:val="en-US"/>
        </w:rPr>
        <w:t xml:space="preserve"> </w:t>
      </w:r>
      <w:r w:rsidRPr="00624C6F">
        <w:rPr>
          <w:rFonts w:ascii="Cambria" w:hAnsi="Cambria"/>
          <w:sz w:val="20"/>
          <w:szCs w:val="20"/>
          <w:lang w:val="en-US"/>
        </w:rPr>
        <w:t>The Garifuna people, the product of cultural syncretism between indigenous and African peoples, have asserted their rights in Honduras as an indigenous people.</w:t>
      </w:r>
      <w:r w:rsidRPr="00624C6F">
        <w:rPr>
          <w:rStyle w:val="Refdenotaalpie"/>
          <w:rFonts w:ascii="Cambria" w:hAnsi="Cambria"/>
          <w:sz w:val="20"/>
          <w:szCs w:val="20"/>
          <w:lang w:val="en-US"/>
        </w:rPr>
        <w:t xml:space="preserve"> </w:t>
      </w:r>
      <w:r w:rsidRPr="00624C6F">
        <w:rPr>
          <w:rStyle w:val="Refdenotaalpie"/>
          <w:rFonts w:ascii="Cambria" w:hAnsi="Cambria"/>
          <w:sz w:val="20"/>
          <w:szCs w:val="20"/>
          <w:lang w:val="en-US"/>
        </w:rPr>
        <w:footnoteReference w:id="28"/>
      </w:r>
      <w:r w:rsidRPr="00624C6F">
        <w:rPr>
          <w:rFonts w:ascii="Cambria" w:hAnsi="Cambria"/>
          <w:sz w:val="20"/>
          <w:szCs w:val="20"/>
          <w:lang w:val="en-US"/>
        </w:rPr>
        <w:t xml:space="preserve"> </w:t>
      </w:r>
      <w:r w:rsidRPr="00624C6F">
        <w:rPr>
          <w:rFonts w:asciiTheme="majorHAnsi" w:hAnsiTheme="majorHAnsi" w:cs="Tahoma"/>
          <w:sz w:val="20"/>
          <w:szCs w:val="20"/>
          <w:lang w:val="en-US"/>
        </w:rPr>
        <w:t xml:space="preserve">In 2013, the first hotel resort complex opened, and threats, intimidation and </w:t>
      </w:r>
      <w:r w:rsidRPr="00624C6F">
        <w:rPr>
          <w:rFonts w:asciiTheme="majorHAnsi" w:hAnsiTheme="majorHAnsi" w:cs="Tahoma"/>
          <w:sz w:val="20"/>
          <w:szCs w:val="20"/>
          <w:lang w:val="en-US"/>
        </w:rPr>
        <w:lastRenderedPageBreak/>
        <w:t>persecution of leaders and the population in general continued.</w:t>
      </w:r>
      <w:r w:rsidRPr="00624C6F">
        <w:rPr>
          <w:rStyle w:val="Refdenotaalpie"/>
          <w:rFonts w:asciiTheme="majorHAnsi" w:hAnsiTheme="majorHAnsi" w:cs="Tahoma"/>
          <w:sz w:val="20"/>
          <w:szCs w:val="20"/>
          <w:lang w:val="en-US"/>
        </w:rPr>
        <w:t xml:space="preserve"> </w:t>
      </w:r>
      <w:r w:rsidRPr="00624C6F">
        <w:rPr>
          <w:rStyle w:val="Refdenotaalpie"/>
          <w:rFonts w:asciiTheme="majorHAnsi" w:hAnsiTheme="majorHAnsi" w:cs="Tahoma"/>
          <w:sz w:val="20"/>
          <w:szCs w:val="20"/>
          <w:lang w:val="en-US"/>
        </w:rPr>
        <w:footnoteReference w:id="29"/>
      </w:r>
      <w:r w:rsidRPr="00624C6F">
        <w:rPr>
          <w:rFonts w:asciiTheme="majorHAnsi" w:hAnsiTheme="majorHAnsi" w:cs="Tahoma"/>
          <w:sz w:val="20"/>
          <w:szCs w:val="20"/>
          <w:lang w:val="en-US"/>
        </w:rPr>
        <w:t xml:space="preserve"> Approximately 400 individuals were victims of eviction on September 30, 2014, with the participation of the armed forces and police.</w:t>
      </w:r>
      <w:r w:rsidRPr="00624C6F">
        <w:rPr>
          <w:rStyle w:val="Refdenotaalpie"/>
          <w:rFonts w:asciiTheme="majorHAnsi" w:hAnsiTheme="majorHAnsi"/>
          <w:sz w:val="20"/>
          <w:szCs w:val="20"/>
          <w:lang w:val="en-US"/>
        </w:rPr>
        <w:footnoteReference w:id="30"/>
      </w:r>
      <w:r w:rsidRPr="00624C6F">
        <w:rPr>
          <w:rFonts w:asciiTheme="majorHAnsi" w:hAnsiTheme="majorHAnsi" w:cs="Tahoma"/>
          <w:sz w:val="20"/>
          <w:szCs w:val="20"/>
          <w:lang w:val="en-US"/>
        </w:rPr>
        <w:t xml:space="preserve"> This eviction order issued by the First Court of Appeals of La Ceiba, had been the result of an alleged irregular appropriation of part of Garifuna territory in the Bahía de </w:t>
      </w:r>
      <w:proofErr w:type="spellStart"/>
      <w:r w:rsidRPr="00624C6F">
        <w:rPr>
          <w:rFonts w:asciiTheme="majorHAnsi" w:hAnsiTheme="majorHAnsi" w:cs="Tahoma"/>
          <w:sz w:val="20"/>
          <w:szCs w:val="20"/>
          <w:lang w:val="en-US"/>
        </w:rPr>
        <w:t>Tela</w:t>
      </w:r>
      <w:proofErr w:type="spellEnd"/>
      <w:r w:rsidRPr="00624C6F">
        <w:rPr>
          <w:rFonts w:asciiTheme="majorHAnsi" w:hAnsiTheme="majorHAnsi" w:cs="Tahoma"/>
          <w:sz w:val="20"/>
          <w:szCs w:val="20"/>
          <w:lang w:val="en-US"/>
        </w:rPr>
        <w:t xml:space="preserve"> area by the Honduran National Port Authority, which in 2006 had granted 25 hectares of expropriated land from the Miami community with a community title. Later, these lands were illegally sold on to San Pedro Sula businessmen.</w:t>
      </w:r>
      <w:r w:rsidRPr="00624C6F">
        <w:rPr>
          <w:rStyle w:val="Refdenotaalpie"/>
          <w:rFonts w:asciiTheme="majorHAnsi" w:hAnsiTheme="majorHAnsi" w:cs="Tahoma"/>
          <w:sz w:val="20"/>
          <w:szCs w:val="20"/>
          <w:lang w:val="en-US"/>
        </w:rPr>
        <w:footnoteReference w:id="31"/>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Regarding the corporations that are implementing these projects, a member of the indigenous people in La Ceiba stated in a meeting with the IACHR that: “they do not want to respect our culture, they do not want to respect our traditions, even worse they mislead us by telling us there will be jobs and that is a bad joke.”</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Regarding this, the IACHR was informed that megaprojects would be implemented on the land of the indigenous peoples, using their natural resources, without any prior, free, and informed consultation.</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As for the megaprojects developed on indigenous territory, "We do not want anything that is not ours,” said a member of the Garifuna People in La Ceiba.</w:t>
      </w:r>
      <w:r w:rsidRPr="00624C6F">
        <w:rPr>
          <w:rStyle w:val="Refdenotaalpie"/>
          <w:rFonts w:asciiTheme="majorHAnsi" w:hAnsiTheme="majorHAnsi" w:cs="Tahoma"/>
          <w:sz w:val="20"/>
          <w:szCs w:val="20"/>
          <w:lang w:val="en-US"/>
        </w:rPr>
        <w:footnoteReference w:id="32"/>
      </w:r>
      <w:r w:rsidRPr="00624C6F">
        <w:rPr>
          <w:rFonts w:asciiTheme="majorHAnsi" w:hAnsiTheme="majorHAnsi" w:cs="Tahoma"/>
          <w:sz w:val="20"/>
          <w:szCs w:val="20"/>
          <w:lang w:val="en-US"/>
        </w:rPr>
        <w:t xml:space="preserve"> “What we want is to retrieve what is ours, what they have stolen from us.</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Our parents, our grandparents, our great-grandparents taught us what is ours," he said.</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"Before we had coconuts, now we have to go and buy them. And there is no land to plant cassava. Neither is there any source of employment.</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 xml:space="preserve">Here we have young people who have graduated from school, young people who've studied, but there are no jobs,” said a woman over 60 years old who was born and raised there. </w:t>
      </w:r>
    </w:p>
    <w:p w:rsidR="001F2B92" w:rsidRPr="00624C6F" w:rsidRDefault="001F2B92" w:rsidP="001F2B92">
      <w:pPr>
        <w:pStyle w:val="Prrafodelista"/>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Out of fear of becoming the victims of violence and due to the threats because of their work opposing several mining projects, some indigenous leaders have had to leave their communities. One example is the case of eight leaders of the Nueva Esperanza and the “</w:t>
      </w:r>
      <w:proofErr w:type="spellStart"/>
      <w:r w:rsidRPr="00624C6F">
        <w:rPr>
          <w:rFonts w:asciiTheme="majorHAnsi" w:hAnsiTheme="majorHAnsi" w:cs="Tahoma"/>
          <w:sz w:val="20"/>
          <w:szCs w:val="20"/>
          <w:lang w:val="en-US"/>
        </w:rPr>
        <w:t>Patronato</w:t>
      </w:r>
      <w:proofErr w:type="spellEnd"/>
      <w:r w:rsidRPr="00624C6F">
        <w:rPr>
          <w:rFonts w:asciiTheme="majorHAnsi" w:hAnsiTheme="majorHAnsi" w:cs="Tahoma"/>
          <w:sz w:val="20"/>
          <w:szCs w:val="20"/>
          <w:lang w:val="en-US"/>
        </w:rPr>
        <w:t xml:space="preserve"> Regional” of the Sector Florida communities, in the municipality of </w:t>
      </w:r>
      <w:proofErr w:type="spellStart"/>
      <w:r w:rsidRPr="00624C6F">
        <w:rPr>
          <w:rFonts w:asciiTheme="majorHAnsi" w:hAnsiTheme="majorHAnsi" w:cs="Tahoma"/>
          <w:sz w:val="20"/>
          <w:szCs w:val="20"/>
          <w:lang w:val="en-US"/>
        </w:rPr>
        <w:t>Tela</w:t>
      </w:r>
      <w:proofErr w:type="spellEnd"/>
      <w:r w:rsidRPr="00624C6F">
        <w:rPr>
          <w:rFonts w:asciiTheme="majorHAnsi" w:hAnsiTheme="majorHAnsi" w:cs="Tahoma"/>
          <w:sz w:val="20"/>
          <w:szCs w:val="20"/>
          <w:lang w:val="en-US"/>
        </w:rPr>
        <w:t>, Department of Atlántida who are the beneficiaries of</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precautionary measures from the IACHR.</w:t>
      </w:r>
      <w:r w:rsidRPr="00624C6F">
        <w:rPr>
          <w:rStyle w:val="Refdenotaalpie"/>
          <w:rFonts w:asciiTheme="majorHAnsi" w:hAnsiTheme="majorHAnsi" w:cs="Tahoma"/>
          <w:sz w:val="20"/>
          <w:szCs w:val="20"/>
          <w:lang w:val="en-US"/>
        </w:rPr>
        <w:footnoteReference w:id="33"/>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The situation of the Independent Indigenous Movement </w:t>
      </w:r>
      <w:proofErr w:type="spellStart"/>
      <w:r w:rsidRPr="00624C6F">
        <w:rPr>
          <w:rFonts w:asciiTheme="majorHAnsi" w:hAnsiTheme="majorHAnsi"/>
          <w:sz w:val="20"/>
          <w:szCs w:val="20"/>
          <w:lang w:val="en-US"/>
        </w:rPr>
        <w:t>Lenca</w:t>
      </w:r>
      <w:proofErr w:type="spellEnd"/>
      <w:r w:rsidRPr="00624C6F">
        <w:rPr>
          <w:rFonts w:asciiTheme="majorHAnsi" w:hAnsiTheme="majorHAnsi"/>
          <w:sz w:val="20"/>
          <w:szCs w:val="20"/>
          <w:lang w:val="en-US"/>
        </w:rPr>
        <w:t xml:space="preserve"> de la Paz-Honduras (MILPAH) vis-a-vis the construction of hydroelectric projects on its territory has </w:t>
      </w:r>
      <w:r w:rsidRPr="00624C6F">
        <w:rPr>
          <w:rFonts w:asciiTheme="majorHAnsi" w:hAnsiTheme="majorHAnsi"/>
          <w:sz w:val="20"/>
          <w:szCs w:val="20"/>
          <w:lang w:val="en-US"/>
        </w:rPr>
        <w:lastRenderedPageBreak/>
        <w:t>been the subject of concern to various civil society organizations. According to the information received, since November 2013 there has been death threats recorded against some community members.</w:t>
      </w:r>
      <w:r w:rsidRPr="00624C6F">
        <w:rPr>
          <w:rStyle w:val="Refdenotaalpie"/>
          <w:rFonts w:asciiTheme="majorHAnsi" w:hAnsiTheme="majorHAnsi"/>
          <w:sz w:val="20"/>
          <w:szCs w:val="20"/>
          <w:lang w:val="en-US"/>
        </w:rPr>
        <w:footnoteReference w:id="34"/>
      </w:r>
      <w:r w:rsidRPr="00624C6F">
        <w:rPr>
          <w:rFonts w:asciiTheme="majorHAnsi" w:hAnsiTheme="majorHAnsi"/>
          <w:sz w:val="20"/>
          <w:szCs w:val="20"/>
          <w:lang w:val="en-US"/>
        </w:rPr>
        <w:t xml:space="preserve"> </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Similarly, in a communication dated July 24, 2014, under the provisions of Article 41 of the American Convention on Human Rights, the Commission requested information from the State of Honduras regarding the situation of the members of the COPINH and other members of the </w:t>
      </w:r>
      <w:proofErr w:type="spellStart"/>
      <w:r w:rsidRPr="00624C6F">
        <w:rPr>
          <w:rFonts w:asciiTheme="majorHAnsi" w:hAnsiTheme="majorHAnsi"/>
          <w:sz w:val="20"/>
          <w:szCs w:val="20"/>
          <w:lang w:val="en-US"/>
        </w:rPr>
        <w:t>Lenca</w:t>
      </w:r>
      <w:proofErr w:type="spellEnd"/>
      <w:r w:rsidRPr="00624C6F">
        <w:rPr>
          <w:rFonts w:asciiTheme="majorHAnsi" w:hAnsiTheme="majorHAnsi"/>
          <w:sz w:val="20"/>
          <w:szCs w:val="20"/>
          <w:lang w:val="en-US"/>
        </w:rPr>
        <w:t xml:space="preserve"> indigenous community. This was due to the alleged murders, assaults and threats against the community that occurred between May and June 2014.</w:t>
      </w:r>
      <w:r w:rsidRPr="00624C6F">
        <w:rPr>
          <w:rStyle w:val="Refdenotaalpie"/>
          <w:rFonts w:asciiTheme="majorHAnsi" w:hAnsiTheme="majorHAnsi"/>
          <w:sz w:val="20"/>
          <w:szCs w:val="20"/>
          <w:lang w:val="en-US"/>
        </w:rPr>
        <w:t xml:space="preserve"> </w:t>
      </w:r>
      <w:r w:rsidRPr="00624C6F">
        <w:rPr>
          <w:rStyle w:val="Refdenotaalpie"/>
          <w:rFonts w:asciiTheme="majorHAnsi" w:hAnsiTheme="majorHAnsi"/>
          <w:sz w:val="20"/>
          <w:szCs w:val="20"/>
          <w:lang w:val="en-US"/>
        </w:rPr>
        <w:footnoteReference w:id="35"/>
      </w:r>
      <w:r w:rsidRPr="00624C6F">
        <w:rPr>
          <w:rFonts w:asciiTheme="majorHAnsi" w:hAnsiTheme="majorHAnsi"/>
          <w:sz w:val="20"/>
          <w:szCs w:val="20"/>
          <w:lang w:val="en-US"/>
        </w:rPr>
        <w:t xml:space="preserve"> It also requested information concerning the criminal proceedings initiated against 36 leaders of the </w:t>
      </w:r>
      <w:proofErr w:type="spellStart"/>
      <w:r w:rsidRPr="00624C6F">
        <w:rPr>
          <w:rFonts w:asciiTheme="majorHAnsi" w:hAnsiTheme="majorHAnsi"/>
          <w:sz w:val="20"/>
          <w:szCs w:val="20"/>
          <w:lang w:val="en-US"/>
        </w:rPr>
        <w:t>Lenca</w:t>
      </w:r>
      <w:proofErr w:type="spellEnd"/>
      <w:r w:rsidRPr="00624C6F">
        <w:rPr>
          <w:rFonts w:asciiTheme="majorHAnsi" w:hAnsiTheme="majorHAnsi"/>
          <w:sz w:val="20"/>
          <w:szCs w:val="20"/>
          <w:lang w:val="en-US"/>
        </w:rPr>
        <w:t xml:space="preserve"> indigenous community for the alleged crimes of "sedition prejudicial to the internal security of the State of Honduras and usurpation of functions". These charges related to the alleged seizure of the City Hall building by the above community after rejecting the results of the November 2013 elections, where Mr. Socorro Sanchez was the winner. In response to that request, the State indicated that on July 22, 2014, at the preliminary hearing, the public prosecutor and the defense requested the provisional acquittal of the accused for the offense of sedition, since the elected authorities had taken up their position without interference with the free exercise of their authority. On July 23, 2014, following the preliminary hearing, the First Court of the Intibucá Department ordered a final dismissal of the case for the offense of usurpation of functions due to a lack of evidence that the offense had been committed, and a provisional acquittal </w:t>
      </w:r>
      <w:proofErr w:type="gramStart"/>
      <w:r w:rsidRPr="00624C6F">
        <w:rPr>
          <w:rFonts w:asciiTheme="majorHAnsi" w:hAnsiTheme="majorHAnsi"/>
          <w:sz w:val="20"/>
          <w:szCs w:val="20"/>
          <w:lang w:val="en-US"/>
        </w:rPr>
        <w:t>with regard to</w:t>
      </w:r>
      <w:proofErr w:type="gramEnd"/>
      <w:r w:rsidRPr="00624C6F">
        <w:rPr>
          <w:rFonts w:asciiTheme="majorHAnsi" w:hAnsiTheme="majorHAnsi"/>
          <w:sz w:val="20"/>
          <w:szCs w:val="20"/>
          <w:lang w:val="en-US"/>
        </w:rPr>
        <w:t xml:space="preserve"> the offense of sedition.</w:t>
      </w:r>
      <w:r w:rsidRPr="00624C6F">
        <w:rPr>
          <w:rStyle w:val="Refdenotaalpie"/>
          <w:rFonts w:asciiTheme="majorHAnsi" w:hAnsiTheme="majorHAnsi"/>
          <w:sz w:val="20"/>
          <w:szCs w:val="20"/>
          <w:lang w:val="en-US"/>
        </w:rPr>
        <w:footnoteReference w:id="36"/>
      </w:r>
      <w:r w:rsidRPr="00624C6F">
        <w:rPr>
          <w:rFonts w:asciiTheme="majorHAnsi" w:hAnsiTheme="majorHAnsi"/>
          <w:sz w:val="20"/>
          <w:szCs w:val="20"/>
          <w:lang w:val="en-US"/>
        </w:rPr>
        <w:t xml:space="preserve"> In its response, the State did not provide any information about the other acts of violence and threats.</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Furthermore, the IACHR received information that indicates that on September 3, 2014, members of the police and armed civilians arrived at the premises of the Indigenous Council of Santiago </w:t>
      </w:r>
      <w:proofErr w:type="spellStart"/>
      <w:r w:rsidRPr="00624C6F">
        <w:rPr>
          <w:rFonts w:asciiTheme="majorHAnsi" w:hAnsiTheme="majorHAnsi"/>
          <w:sz w:val="20"/>
          <w:szCs w:val="20"/>
          <w:lang w:val="en-US"/>
        </w:rPr>
        <w:t>Apóstol</w:t>
      </w:r>
      <w:proofErr w:type="spellEnd"/>
      <w:r w:rsidRPr="00624C6F">
        <w:rPr>
          <w:rFonts w:asciiTheme="majorHAnsi" w:hAnsiTheme="majorHAnsi"/>
          <w:sz w:val="20"/>
          <w:szCs w:val="20"/>
          <w:lang w:val="en-US"/>
        </w:rPr>
        <w:t xml:space="preserve"> firing shots into the air, burning belongings, destroying crops, and stealing agricultural implements. On November 3, 2014, the indigenous rights defender, Calixto Vasquez, was arbitrarily arrested while participating in a peaceful march. It has been reported that since that day, the </w:t>
      </w:r>
      <w:r w:rsidRPr="00624C6F">
        <w:rPr>
          <w:rFonts w:asciiTheme="majorHAnsi" w:hAnsiTheme="majorHAnsi"/>
          <w:sz w:val="20"/>
          <w:szCs w:val="20"/>
          <w:lang w:val="en-US"/>
        </w:rPr>
        <w:lastRenderedPageBreak/>
        <w:t>municipality, its surroundings and the territory where the company has started its work, has been highly militarized.</w:t>
      </w:r>
      <w:r w:rsidRPr="00624C6F">
        <w:rPr>
          <w:rStyle w:val="Refdenotaalpie"/>
          <w:rFonts w:asciiTheme="majorHAnsi" w:hAnsiTheme="majorHAnsi"/>
          <w:sz w:val="20"/>
          <w:szCs w:val="20"/>
          <w:lang w:val="en-US"/>
        </w:rPr>
        <w:footnoteReference w:id="37"/>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The Commission considers that the initiation of baseless criminal proceedings against defenders may entail a violation of the right to personal integrity when the harassment caused by these actions affects the normal course of daily life and causes great and worrying disruption to the person subject to legal proceedings and his family.</w:t>
      </w:r>
      <w:r w:rsidRPr="00624C6F">
        <w:rPr>
          <w:rStyle w:val="Refdenotaalpie"/>
          <w:rFonts w:ascii="Cambria" w:hAnsi="Cambria"/>
          <w:sz w:val="20"/>
          <w:szCs w:val="20"/>
          <w:lang w:val="en-US"/>
        </w:rPr>
        <w:footnoteReference w:id="38"/>
      </w:r>
      <w:r w:rsidRPr="00624C6F">
        <w:rPr>
          <w:rFonts w:asciiTheme="majorHAnsi" w:hAnsiTheme="majorHAnsi"/>
          <w:sz w:val="20"/>
          <w:szCs w:val="20"/>
          <w:lang w:val="en-US"/>
        </w:rPr>
        <w:t xml:space="preserve"> Such severity is confirmed by the constant uncertainty about their future.</w:t>
      </w:r>
      <w:r w:rsidRPr="00624C6F">
        <w:rPr>
          <w:rStyle w:val="Refdenotaalpie"/>
          <w:rFonts w:ascii="Cambria" w:hAnsi="Cambria"/>
          <w:sz w:val="20"/>
          <w:szCs w:val="20"/>
          <w:lang w:val="en-US"/>
        </w:rPr>
        <w:footnoteReference w:id="39"/>
      </w:r>
      <w:r w:rsidRPr="00624C6F">
        <w:rPr>
          <w:rFonts w:asciiTheme="majorHAnsi" w:hAnsiTheme="majorHAnsi"/>
          <w:sz w:val="20"/>
          <w:szCs w:val="20"/>
          <w:lang w:val="en-US"/>
        </w:rPr>
        <w:t xml:space="preserve"> The State must ensure the existence of safeguards to prevent that authorities or third parties manipulate the punitive power of the State and its organs of justice to harass those who are engaged in legitimate activities such as human rights defenders.</w:t>
      </w:r>
      <w:r w:rsidRPr="00624C6F">
        <w:rPr>
          <w:rStyle w:val="Refdenotaalpie"/>
          <w:rFonts w:asciiTheme="majorHAnsi" w:hAnsiTheme="majorHAnsi"/>
          <w:sz w:val="20"/>
          <w:szCs w:val="20"/>
          <w:lang w:val="en-US"/>
        </w:rPr>
        <w:footnoteReference w:id="40"/>
      </w:r>
      <w:r w:rsidRPr="00624C6F">
        <w:rPr>
          <w:rFonts w:asciiTheme="majorHAnsi" w:hAnsiTheme="majorHAnsi"/>
          <w:sz w:val="20"/>
          <w:szCs w:val="20"/>
          <w:lang w:val="en-US"/>
        </w:rPr>
        <w:t xml:space="preserve"> In this regard the State should also adopt measures to respond to evidence of abuse or manipulation of authorities and third parties.</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It is important to note that violence against indigenous peoples in Honduras has been exacerbated by the presence of organized crime. Information from certain organizations indicates that in the need to secure drug trafficking routes, violent incursions onto indigenous lands have occurred. Some allegedly drug gangs have forcibly occupied indigenous territories to construct clandestine airstrips. On July 17, 2014, members of the Garifuna community in northeastern Honduras, including the human rights activist Miriam Miranda, were kidnapped by armed men, because in a previous visit to the area they had discovered an illegal landing strip used by drug traffickers. Although at </w:t>
      </w:r>
      <w:proofErr w:type="gramStart"/>
      <w:r w:rsidRPr="00624C6F">
        <w:rPr>
          <w:rFonts w:asciiTheme="majorHAnsi" w:hAnsiTheme="majorHAnsi"/>
          <w:sz w:val="20"/>
          <w:szCs w:val="20"/>
          <w:lang w:val="en-US"/>
        </w:rPr>
        <w:t>first</w:t>
      </w:r>
      <w:proofErr w:type="gramEnd"/>
      <w:r w:rsidRPr="00624C6F">
        <w:rPr>
          <w:rFonts w:asciiTheme="majorHAnsi" w:hAnsiTheme="majorHAnsi"/>
          <w:sz w:val="20"/>
          <w:szCs w:val="20"/>
          <w:lang w:val="en-US"/>
        </w:rPr>
        <w:t xml:space="preserve"> they were told that they were going to be killed, they were subsequently released.</w:t>
      </w:r>
      <w:r w:rsidRPr="00624C6F">
        <w:rPr>
          <w:rStyle w:val="Refdenotaalpie"/>
          <w:rFonts w:asciiTheme="majorHAnsi" w:hAnsiTheme="majorHAnsi"/>
          <w:sz w:val="20"/>
          <w:szCs w:val="20"/>
          <w:lang w:val="en-US"/>
        </w:rPr>
        <w:footnoteReference w:id="41"/>
      </w:r>
      <w:r w:rsidRPr="00624C6F">
        <w:rPr>
          <w:rFonts w:asciiTheme="majorHAnsi" w:hAnsiTheme="majorHAnsi"/>
          <w:sz w:val="20"/>
          <w:szCs w:val="20"/>
          <w:lang w:val="en-US"/>
        </w:rPr>
        <w:t xml:space="preserve"> Members of the </w:t>
      </w:r>
      <w:proofErr w:type="spellStart"/>
      <w:r w:rsidRPr="00624C6F">
        <w:rPr>
          <w:rFonts w:asciiTheme="majorHAnsi" w:hAnsiTheme="majorHAnsi"/>
          <w:sz w:val="20"/>
          <w:szCs w:val="20"/>
          <w:lang w:val="en-US"/>
        </w:rPr>
        <w:t>Tolupan</w:t>
      </w:r>
      <w:proofErr w:type="spellEnd"/>
      <w:r w:rsidRPr="00624C6F">
        <w:rPr>
          <w:rFonts w:asciiTheme="majorHAnsi" w:hAnsiTheme="majorHAnsi"/>
          <w:sz w:val="20"/>
          <w:szCs w:val="20"/>
          <w:lang w:val="en-US"/>
        </w:rPr>
        <w:t xml:space="preserve"> Community of San Francisco de </w:t>
      </w:r>
      <w:proofErr w:type="spellStart"/>
      <w:r w:rsidRPr="00624C6F">
        <w:rPr>
          <w:rFonts w:asciiTheme="majorHAnsi" w:hAnsiTheme="majorHAnsi"/>
          <w:sz w:val="20"/>
          <w:szCs w:val="20"/>
          <w:lang w:val="en-US"/>
        </w:rPr>
        <w:t>Locomapa</w:t>
      </w:r>
      <w:proofErr w:type="spellEnd"/>
      <w:r w:rsidRPr="00624C6F">
        <w:rPr>
          <w:rFonts w:asciiTheme="majorHAnsi" w:hAnsiTheme="majorHAnsi"/>
          <w:sz w:val="20"/>
          <w:szCs w:val="20"/>
          <w:lang w:val="en-US"/>
        </w:rPr>
        <w:t xml:space="preserve"> in the Yoro department have denounced the threats and systematic persecution perpetrated by armed groups linked to organized crime and mining companies.</w:t>
      </w:r>
      <w:r w:rsidRPr="00624C6F">
        <w:rPr>
          <w:rStyle w:val="Refdenotaalpie"/>
          <w:rFonts w:asciiTheme="majorHAnsi" w:hAnsiTheme="majorHAnsi"/>
          <w:sz w:val="20"/>
          <w:szCs w:val="20"/>
          <w:lang w:val="en-US"/>
        </w:rPr>
        <w:footnoteReference w:id="42"/>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lastRenderedPageBreak/>
        <w:t>The Commission considers particularly serious the information that police officers take part directly in acts of harassment, intimidation and violence against indigenous communities and their members. In this regard, it urges the Honduran government to put an end to these acts and to ensure that any activities carried out by the security forces where the defense of indigenous peoples and communities’ ancestral territories are concerned, are consistent with the fundamental role of protecting individuals’ rights to life, liberty and security.</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On the other hand, the Commission recalls that indigenous peoples have the right to be protected by the State from attacks by third parties, especially when they occur in the context of conflicts over ancestral territory.</w:t>
      </w:r>
      <w:r w:rsidRPr="00624C6F">
        <w:rPr>
          <w:rStyle w:val="Refdenotaalpie"/>
          <w:rFonts w:asciiTheme="majorHAnsi" w:hAnsiTheme="majorHAnsi"/>
          <w:sz w:val="20"/>
          <w:szCs w:val="20"/>
          <w:lang w:val="en-US"/>
        </w:rPr>
        <w:footnoteReference w:id="43"/>
      </w:r>
      <w:r w:rsidRPr="00624C6F">
        <w:rPr>
          <w:rFonts w:asciiTheme="majorHAnsi" w:hAnsiTheme="majorHAnsi"/>
          <w:sz w:val="20"/>
          <w:szCs w:val="20"/>
          <w:lang w:val="en-US"/>
        </w:rPr>
        <w:t xml:space="preserve"> In such cases, when the State knows or should know about the risk, state authorities are obliged to adopt reasonable measures to prevent the occurrence of such conflicts, protect indigenous communities from violent attacks, and effectively investigate and punish those responsible.</w:t>
      </w:r>
      <w:r w:rsidRPr="00624C6F">
        <w:rPr>
          <w:rStyle w:val="Refdenotaalpie"/>
          <w:rFonts w:asciiTheme="majorHAnsi" w:hAnsiTheme="majorHAnsi"/>
          <w:sz w:val="20"/>
          <w:szCs w:val="20"/>
          <w:lang w:val="en-US"/>
        </w:rPr>
        <w:footnoteReference w:id="44"/>
      </w:r>
    </w:p>
    <w:p w:rsidR="001F2B92" w:rsidRPr="00624C6F" w:rsidRDefault="001F2B92" w:rsidP="001F2B92">
      <w:pPr>
        <w:pStyle w:val="Prrafodelista"/>
        <w:ind w:left="547" w:hanging="547"/>
        <w:rPr>
          <w:rFonts w:asciiTheme="majorHAnsi" w:hAnsiTheme="majorHAnsi" w:cs="Tahoma"/>
          <w:sz w:val="20"/>
          <w:szCs w:val="20"/>
          <w:lang w:val="en-US"/>
        </w:rPr>
      </w:pPr>
    </w:p>
    <w:p w:rsidR="001F2B92" w:rsidRPr="00B06B98" w:rsidRDefault="001F2B92" w:rsidP="00624C6F">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Arial"/>
          <w:sz w:val="20"/>
          <w:lang w:val="en-US"/>
        </w:rPr>
        <w:t xml:space="preserve">The Commission recommends that the State investigate and punish those responsible for the threats, harassment, violence, intimidation and damage done to the property of members of indigenous communities, and </w:t>
      </w:r>
      <w:proofErr w:type="gramStart"/>
      <w:r w:rsidRPr="00624C6F">
        <w:rPr>
          <w:rFonts w:asciiTheme="majorHAnsi" w:hAnsiTheme="majorHAnsi" w:cs="Arial"/>
          <w:sz w:val="20"/>
          <w:lang w:val="en-US"/>
        </w:rPr>
        <w:t>in particular to</w:t>
      </w:r>
      <w:proofErr w:type="gramEnd"/>
      <w:r w:rsidRPr="00624C6F">
        <w:rPr>
          <w:rFonts w:asciiTheme="majorHAnsi" w:hAnsiTheme="majorHAnsi" w:cs="Arial"/>
          <w:sz w:val="20"/>
          <w:lang w:val="en-US"/>
        </w:rPr>
        <w:t xml:space="preserve"> their leaders and authorities. It should also adopt an effective and simple remedy to protect the right of indigenous peoples of Honduras to assert and access their traditional territories and to allow them to protect these lands from actions by the </w:t>
      </w:r>
      <w:r w:rsidRPr="00624C6F">
        <w:rPr>
          <w:rFonts w:asciiTheme="majorHAnsi" w:hAnsiTheme="majorHAnsi" w:cs="Tahoma"/>
          <w:sz w:val="20"/>
          <w:szCs w:val="20"/>
          <w:lang w:val="en-US"/>
        </w:rPr>
        <w:t>S</w:t>
      </w:r>
      <w:r w:rsidRPr="00624C6F">
        <w:rPr>
          <w:rFonts w:asciiTheme="majorHAnsi" w:hAnsiTheme="majorHAnsi" w:cs="Arial"/>
          <w:sz w:val="20"/>
          <w:lang w:val="en-US"/>
        </w:rPr>
        <w:t>tate or others who violate their property rights.</w:t>
      </w:r>
      <w:r w:rsidRPr="00624C6F">
        <w:rPr>
          <w:rStyle w:val="Refdenotaalpie"/>
          <w:rFonts w:asciiTheme="majorHAnsi" w:hAnsiTheme="majorHAnsi" w:cs="Arial"/>
          <w:sz w:val="20"/>
          <w:lang w:val="en-US"/>
        </w:rPr>
        <w:footnoteReference w:id="45"/>
      </w:r>
    </w:p>
    <w:p w:rsidR="00B06B98" w:rsidRDefault="00B06B98" w:rsidP="00B06B98">
      <w:pPr>
        <w:pStyle w:val="Prrafodelista"/>
        <w:rPr>
          <w:rFonts w:asciiTheme="majorHAnsi" w:hAnsiTheme="majorHAnsi" w:cs="Tahoma"/>
          <w:sz w:val="20"/>
          <w:szCs w:val="20"/>
          <w:lang w:val="en-US"/>
        </w:rPr>
      </w:pPr>
    </w:p>
    <w:p w:rsidR="001F2B92" w:rsidRPr="00624C6F" w:rsidRDefault="001F2B92" w:rsidP="00EF623E">
      <w:pPr>
        <w:pStyle w:val="Ttulo4"/>
        <w:keepNext/>
      </w:pPr>
      <w:bookmarkStart w:id="6" w:name="_Toc442694863"/>
      <w:proofErr w:type="spellStart"/>
      <w:r w:rsidRPr="00624C6F">
        <w:t>Impunity</w:t>
      </w:r>
      <w:bookmarkEnd w:id="6"/>
      <w:proofErr w:type="spellEnd"/>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According to information presented by the </w:t>
      </w:r>
      <w:proofErr w:type="spellStart"/>
      <w:r w:rsidRPr="00624C6F">
        <w:rPr>
          <w:rFonts w:asciiTheme="majorHAnsi" w:hAnsiTheme="majorHAnsi"/>
          <w:sz w:val="20"/>
          <w:szCs w:val="20"/>
          <w:lang w:val="en-US"/>
        </w:rPr>
        <w:t>Observatorio</w:t>
      </w:r>
      <w:proofErr w:type="spellEnd"/>
      <w:r w:rsidRPr="00624C6F">
        <w:rPr>
          <w:rFonts w:asciiTheme="majorHAnsi" w:hAnsiTheme="majorHAnsi"/>
          <w:sz w:val="20"/>
          <w:szCs w:val="20"/>
          <w:lang w:val="en-US"/>
        </w:rPr>
        <w:t xml:space="preserve"> de Derechos Humanos de los Pueblos </w:t>
      </w:r>
      <w:proofErr w:type="spellStart"/>
      <w:r w:rsidRPr="00624C6F">
        <w:rPr>
          <w:rFonts w:asciiTheme="majorHAnsi" w:hAnsiTheme="majorHAnsi"/>
          <w:sz w:val="20"/>
          <w:szCs w:val="20"/>
          <w:lang w:val="en-US"/>
        </w:rPr>
        <w:t>Indígenas</w:t>
      </w:r>
      <w:proofErr w:type="spellEnd"/>
      <w:r w:rsidRPr="00624C6F">
        <w:rPr>
          <w:rFonts w:asciiTheme="majorHAnsi" w:hAnsiTheme="majorHAnsi"/>
          <w:sz w:val="20"/>
          <w:szCs w:val="20"/>
          <w:lang w:val="en-US"/>
        </w:rPr>
        <w:t xml:space="preserve"> y Negros de Honduras [Human Rights Observatory of the Indigenous and Black Peoples of Honduras], in its Alternative Report for the Committee on the Elimination of Racial Discrimination, even though there is an Office of the Special Prosecutor for Ethnic Groups and Cultural Heritage, complaints filed by indigenous peoples or communities of African descent are not investigated or, in cases in which officials do initiate a process, no orders to prosecute are issued.</w:t>
      </w:r>
      <w:r w:rsidRPr="00624C6F">
        <w:rPr>
          <w:rStyle w:val="Refdenotaalpie"/>
          <w:rFonts w:asciiTheme="majorHAnsi" w:hAnsiTheme="majorHAnsi"/>
          <w:sz w:val="20"/>
          <w:szCs w:val="20"/>
          <w:lang w:val="en-US"/>
        </w:rPr>
        <w:footnoteReference w:id="46"/>
      </w:r>
      <w:r w:rsidRPr="00624C6F">
        <w:rPr>
          <w:rFonts w:asciiTheme="majorHAnsi" w:hAnsiTheme="majorHAnsi"/>
          <w:sz w:val="20"/>
          <w:szCs w:val="20"/>
          <w:lang w:val="en-US"/>
        </w:rPr>
        <w:t xml:space="preserve"> These organizations believe that one of the main problems faced by indigenous peoples in Honduras has to do with the crisis in the administration of justice, given the lack of independence by the branches of government.</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The Committee on the Elimination of Racial Discrimination (CERD) indicated that between 2002 and 2013 the Office of the Special Prosecutor for Ethnic Groups and Cultural Heritage received 55 complaints for discrimination offenses, of which 31 are under investigation, 17 were dismissed, 4 were brought to trial, and 3 resolved by other means. </w:t>
      </w:r>
      <w:proofErr w:type="gramStart"/>
      <w:r w:rsidRPr="00624C6F">
        <w:rPr>
          <w:rFonts w:asciiTheme="majorHAnsi" w:hAnsiTheme="majorHAnsi"/>
          <w:sz w:val="20"/>
          <w:szCs w:val="20"/>
          <w:lang w:val="en-US"/>
        </w:rPr>
        <w:t>Apparently</w:t>
      </w:r>
      <w:proofErr w:type="gramEnd"/>
      <w:r w:rsidRPr="00624C6F">
        <w:rPr>
          <w:rFonts w:asciiTheme="majorHAnsi" w:hAnsiTheme="majorHAnsi"/>
          <w:sz w:val="20"/>
          <w:szCs w:val="20"/>
          <w:lang w:val="en-US"/>
        </w:rPr>
        <w:t xml:space="preserve"> no penalties have been imposed for this offense. The CERD expressed </w:t>
      </w:r>
      <w:proofErr w:type="gramStart"/>
      <w:r w:rsidRPr="00624C6F">
        <w:rPr>
          <w:rFonts w:asciiTheme="majorHAnsi" w:hAnsiTheme="majorHAnsi"/>
          <w:sz w:val="20"/>
          <w:szCs w:val="20"/>
          <w:lang w:val="en-US"/>
        </w:rPr>
        <w:t>particular concern</w:t>
      </w:r>
      <w:proofErr w:type="gramEnd"/>
      <w:r w:rsidRPr="00624C6F">
        <w:rPr>
          <w:rFonts w:asciiTheme="majorHAnsi" w:hAnsiTheme="majorHAnsi"/>
          <w:sz w:val="20"/>
          <w:szCs w:val="20"/>
          <w:lang w:val="en-US"/>
        </w:rPr>
        <w:t xml:space="preserve"> over the small number of complaints filed with the Special Prosecutor’s Office, as well as the disproportionality between the number of complaints dismissed and those brought to trial.</w:t>
      </w:r>
      <w:r w:rsidRPr="00624C6F">
        <w:rPr>
          <w:rStyle w:val="Refdenotaalpie"/>
          <w:rFonts w:asciiTheme="majorHAnsi" w:hAnsiTheme="majorHAnsi"/>
          <w:sz w:val="20"/>
          <w:szCs w:val="20"/>
          <w:lang w:val="en-US"/>
        </w:rPr>
        <w:footnoteReference w:id="47"/>
      </w:r>
    </w:p>
    <w:p w:rsidR="001F2B92" w:rsidRPr="00624C6F" w:rsidRDefault="001F2B92" w:rsidP="001F2B92">
      <w:pPr>
        <w:pStyle w:val="Prrafodelista"/>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The State, in its response to the draft of this report, indicated that in the context of its area of responsibility, the Office of the </w:t>
      </w:r>
      <w:r w:rsidRPr="00624C6F">
        <w:rPr>
          <w:rFonts w:asciiTheme="majorHAnsi" w:hAnsiTheme="majorHAnsi"/>
          <w:sz w:val="20"/>
          <w:szCs w:val="20"/>
          <w:lang w:val="en-US"/>
        </w:rPr>
        <w:t xml:space="preserve">Special Prosecutor for Ethnic Groups and Cultural Heritage has taken cognizance of complaints filed for the crime of discrimination in which the complainants have been indigenous women; these have been prosecuted in cases where there has been relevant evidence. Likewise, to raise justice operators’ awareness regarding this issue, the </w:t>
      </w:r>
      <w:r w:rsidRPr="00624C6F">
        <w:rPr>
          <w:rFonts w:ascii="Cambria" w:hAnsi="Cambria" w:cs="Tahoma"/>
          <w:sz w:val="20"/>
          <w:szCs w:val="20"/>
          <w:lang w:val="en-US"/>
        </w:rPr>
        <w:t xml:space="preserve">Office of the </w:t>
      </w:r>
      <w:r w:rsidRPr="00624C6F">
        <w:rPr>
          <w:rFonts w:asciiTheme="majorHAnsi" w:hAnsiTheme="majorHAnsi"/>
          <w:sz w:val="20"/>
          <w:szCs w:val="20"/>
          <w:lang w:val="en-US"/>
        </w:rPr>
        <w:t>Special Prosecutor held training sessions in 2013 for indigenous organizations and prosecutors from the Public Prosecutor’s Office. In this context, men and women leaders were given training regarding their rights and access to justice and the responsibilities of the justice institutions to which they should turn to ensure recognition of those rights.</w:t>
      </w:r>
      <w:r w:rsidRPr="00624C6F">
        <w:rPr>
          <w:rStyle w:val="Refdenotaalpie"/>
          <w:rFonts w:asciiTheme="majorHAnsi" w:hAnsiTheme="majorHAnsi"/>
          <w:sz w:val="20"/>
          <w:szCs w:val="20"/>
          <w:lang w:val="en-US"/>
        </w:rPr>
        <w:footnoteReference w:id="48"/>
      </w:r>
      <w:r w:rsidRPr="00624C6F">
        <w:rPr>
          <w:rFonts w:asciiTheme="majorHAnsi" w:hAnsiTheme="majorHAnsi"/>
          <w:sz w:val="20"/>
          <w:szCs w:val="20"/>
          <w:lang w:val="en-US"/>
        </w:rPr>
        <w:t xml:space="preserve"> </w:t>
      </w:r>
    </w:p>
    <w:p w:rsidR="001F2B92" w:rsidRPr="00624C6F" w:rsidRDefault="001F2B92" w:rsidP="001F2B92">
      <w:pPr>
        <w:pStyle w:val="Prrafodelista"/>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The State also indicated that a manual has been drafted for the investigation of violations of the rights of indigenous peoples and Afro-Hondurans—it is still pending publication—in order to provide training regarding crimes committed against indigenous peoples, and specifically the crime of discrimination.</w:t>
      </w:r>
      <w:r w:rsidRPr="00624C6F">
        <w:rPr>
          <w:rStyle w:val="Refdenotaalpie"/>
          <w:rFonts w:ascii="Cambria" w:hAnsi="Cambria" w:cs="Tahoma"/>
          <w:sz w:val="20"/>
          <w:szCs w:val="20"/>
          <w:lang w:val="en-US"/>
        </w:rPr>
        <w:footnoteReference w:id="49"/>
      </w:r>
      <w:r w:rsidRPr="00624C6F">
        <w:rPr>
          <w:rFonts w:ascii="Cambria" w:hAnsi="Cambria" w:cs="Tahoma"/>
          <w:sz w:val="20"/>
          <w:szCs w:val="20"/>
          <w:lang w:val="en-US"/>
        </w:rPr>
        <w:t xml:space="preserve"> The State reported that the manual covers the application of international standards regarding the rights of indigenous peoples, including the obligation of justice operators to offer translation services in criminal proceedings both when members of indigenous or Afro-descendant peoples are complainants and defendants, so as to ensure due process.</w:t>
      </w:r>
    </w:p>
    <w:p w:rsidR="001F2B92" w:rsidRPr="00624C6F" w:rsidRDefault="001F2B92" w:rsidP="001F2B92">
      <w:pPr>
        <w:pStyle w:val="Prrafodelista"/>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The State also </w:t>
      </w:r>
      <w:proofErr w:type="gramStart"/>
      <w:r w:rsidRPr="00624C6F">
        <w:rPr>
          <w:rFonts w:ascii="Cambria" w:hAnsi="Cambria" w:cs="Tahoma"/>
          <w:sz w:val="20"/>
          <w:szCs w:val="20"/>
          <w:lang w:val="en-US"/>
        </w:rPr>
        <w:t>made reference</w:t>
      </w:r>
      <w:proofErr w:type="gramEnd"/>
      <w:r w:rsidRPr="00624C6F">
        <w:rPr>
          <w:rFonts w:ascii="Cambria" w:hAnsi="Cambria" w:cs="Tahoma"/>
          <w:sz w:val="20"/>
          <w:szCs w:val="20"/>
          <w:lang w:val="en-US"/>
        </w:rPr>
        <w:t xml:space="preserve"> to the fact that </w:t>
      </w:r>
      <w:r w:rsidRPr="00624C6F">
        <w:rPr>
          <w:rFonts w:asciiTheme="majorHAnsi" w:hAnsiTheme="majorHAnsi"/>
          <w:sz w:val="20"/>
          <w:szCs w:val="20"/>
          <w:lang w:val="en-US"/>
        </w:rPr>
        <w:t xml:space="preserve">on December 10, 2015, </w:t>
      </w:r>
      <w:r w:rsidRPr="00624C6F">
        <w:rPr>
          <w:rFonts w:ascii="Cambria" w:hAnsi="Cambria" w:cs="Tahoma"/>
          <w:sz w:val="20"/>
          <w:szCs w:val="20"/>
          <w:lang w:val="en-US"/>
        </w:rPr>
        <w:t xml:space="preserve">the Office of the </w:t>
      </w:r>
      <w:r w:rsidRPr="00624C6F">
        <w:rPr>
          <w:rFonts w:asciiTheme="majorHAnsi" w:hAnsiTheme="majorHAnsi"/>
          <w:sz w:val="20"/>
          <w:szCs w:val="20"/>
          <w:lang w:val="en-US"/>
        </w:rPr>
        <w:t xml:space="preserve">Special Prosecutor for Ethnic Groups and Cultural Heritage obtained a conviction in the respective court against members of the Army for the homicide of indigenous leader </w:t>
      </w:r>
      <w:proofErr w:type="spellStart"/>
      <w:r w:rsidRPr="00624C6F">
        <w:rPr>
          <w:rFonts w:asciiTheme="majorHAnsi" w:hAnsiTheme="majorHAnsi"/>
          <w:sz w:val="20"/>
          <w:szCs w:val="20"/>
          <w:lang w:val="en-US"/>
        </w:rPr>
        <w:t>Lenca</w:t>
      </w:r>
      <w:proofErr w:type="spellEnd"/>
      <w:r w:rsidRPr="00624C6F">
        <w:rPr>
          <w:rFonts w:asciiTheme="majorHAnsi" w:hAnsiTheme="majorHAnsi"/>
          <w:sz w:val="20"/>
          <w:szCs w:val="20"/>
          <w:lang w:val="en-US"/>
        </w:rPr>
        <w:t xml:space="preserve"> Tomás García Domínguez.</w:t>
      </w:r>
      <w:r w:rsidRPr="00624C6F">
        <w:rPr>
          <w:rStyle w:val="Refdenotaalpie"/>
          <w:rFonts w:asciiTheme="majorHAnsi" w:hAnsiTheme="majorHAnsi"/>
          <w:sz w:val="20"/>
          <w:szCs w:val="20"/>
          <w:lang w:val="en-US"/>
        </w:rPr>
        <w:footnoteReference w:id="50"/>
      </w:r>
      <w:r w:rsidR="00BB5ED1" w:rsidRPr="00624C6F">
        <w:rPr>
          <w:rFonts w:asciiTheme="majorHAnsi" w:hAnsiTheme="majorHAnsi"/>
          <w:sz w:val="20"/>
          <w:szCs w:val="20"/>
          <w:lang w:val="en-US"/>
        </w:rPr>
        <w:t xml:space="preserve"> </w:t>
      </w:r>
      <w:r w:rsidR="00BB5ED1" w:rsidRPr="00624C6F">
        <w:rPr>
          <w:rFonts w:ascii="Cambria" w:hAnsi="Cambria" w:cs="Tahoma"/>
          <w:sz w:val="20"/>
          <w:szCs w:val="20"/>
          <w:lang w:val="en-US"/>
        </w:rPr>
        <w:t xml:space="preserve"> </w:t>
      </w:r>
    </w:p>
    <w:p w:rsidR="001F2B92" w:rsidRPr="00624C6F" w:rsidRDefault="001F2B92" w:rsidP="001F2B92">
      <w:pPr>
        <w:pStyle w:val="Prrafodelista"/>
        <w:ind w:left="547" w:hanging="547"/>
        <w:rPr>
          <w:rFonts w:asciiTheme="majorHAnsi" w:hAnsiTheme="majorHAnsi"/>
          <w:sz w:val="20"/>
          <w:szCs w:val="20"/>
          <w:lang w:val="en-US"/>
        </w:rPr>
      </w:pPr>
    </w:p>
    <w:p w:rsidR="005D04F5" w:rsidRPr="005D04F5" w:rsidRDefault="001F2B92" w:rsidP="0086515C">
      <w:pPr>
        <w:numPr>
          <w:ilvl w:val="0"/>
          <w:numId w:val="7"/>
        </w:numPr>
        <w:ind w:left="547" w:hanging="547"/>
        <w:jc w:val="both"/>
        <w:rPr>
          <w:rFonts w:ascii="Cambria" w:hAnsi="Cambria"/>
          <w:spacing w:val="-10"/>
          <w:sz w:val="44"/>
          <w:szCs w:val="44"/>
          <w:lang w:val="en-US"/>
        </w:rPr>
      </w:pPr>
      <w:r w:rsidRPr="00624C6F">
        <w:rPr>
          <w:rFonts w:asciiTheme="majorHAnsi" w:hAnsiTheme="majorHAnsi"/>
          <w:sz w:val="20"/>
          <w:szCs w:val="20"/>
          <w:lang w:val="en-US"/>
        </w:rPr>
        <w:lastRenderedPageBreak/>
        <w:t>The IACHR considers it necessary to strengthen the Office of the Special Prosecutor for Ethnic Groups and Cultural Heritage and for this office to be provided with adequate financial and human resources so that it can function properly.</w:t>
      </w:r>
    </w:p>
    <w:p w:rsidR="005D04F5" w:rsidRDefault="005D04F5" w:rsidP="005D04F5">
      <w:pPr>
        <w:pStyle w:val="Prrafodelista"/>
        <w:rPr>
          <w:rFonts w:asciiTheme="majorHAnsi" w:hAnsiTheme="majorHAnsi"/>
          <w:sz w:val="20"/>
          <w:szCs w:val="20"/>
          <w:lang w:val="en-US"/>
        </w:rPr>
      </w:pPr>
    </w:p>
    <w:p w:rsidR="000666B4" w:rsidRPr="005D04F5" w:rsidRDefault="005D04F5" w:rsidP="005D04F5">
      <w:pPr>
        <w:ind w:left="547"/>
        <w:jc w:val="both"/>
        <w:rPr>
          <w:rFonts w:ascii="Cambria" w:hAnsi="Cambria"/>
          <w:spacing w:val="-10"/>
          <w:sz w:val="44"/>
          <w:szCs w:val="44"/>
          <w:lang w:val="en-US"/>
        </w:rPr>
      </w:pPr>
      <w:r>
        <w:rPr>
          <w:rFonts w:asciiTheme="majorHAnsi" w:hAnsiTheme="majorHAnsi"/>
          <w:sz w:val="20"/>
          <w:szCs w:val="20"/>
          <w:lang w:val="en-US"/>
        </w:rPr>
        <w:t>[…]</w:t>
      </w:r>
      <w:r w:rsidR="001F2B92" w:rsidRPr="00624C6F">
        <w:rPr>
          <w:rFonts w:asciiTheme="majorHAnsi" w:hAnsiTheme="majorHAnsi"/>
          <w:sz w:val="20"/>
          <w:szCs w:val="20"/>
          <w:lang w:val="en-US"/>
        </w:rPr>
        <w:t xml:space="preserve"> </w:t>
      </w:r>
    </w:p>
    <w:p w:rsidR="005D04F5" w:rsidRPr="00624C6F" w:rsidRDefault="005D04F5" w:rsidP="005D04F5">
      <w:pPr>
        <w:jc w:val="both"/>
        <w:rPr>
          <w:rFonts w:ascii="Cambria" w:hAnsi="Cambria"/>
          <w:spacing w:val="-10"/>
          <w:sz w:val="44"/>
          <w:szCs w:val="44"/>
          <w:lang w:val="en-US"/>
        </w:rPr>
        <w:sectPr w:rsidR="005D04F5" w:rsidRPr="00624C6F" w:rsidSect="001F2B92">
          <w:headerReference w:type="even" r:id="rId26"/>
          <w:headerReference w:type="default" r:id="rId27"/>
          <w:footerReference w:type="even" r:id="rId28"/>
          <w:footerReference w:type="default" r:id="rId29"/>
          <w:type w:val="oddPage"/>
          <w:pgSz w:w="10080" w:h="14400" w:code="1"/>
          <w:pgMar w:top="1152" w:right="1152" w:bottom="1152" w:left="1296" w:header="720" w:footer="720" w:gutter="0"/>
          <w:cols w:space="720"/>
          <w:docGrid w:linePitch="326"/>
        </w:sectPr>
      </w:pPr>
    </w:p>
    <w:p w:rsidR="000666B4" w:rsidRPr="00624C6F" w:rsidRDefault="001F2B92" w:rsidP="000666B4">
      <w:pPr>
        <w:tabs>
          <w:tab w:val="left" w:pos="0"/>
        </w:tabs>
        <w:jc w:val="center"/>
        <w:rPr>
          <w:rFonts w:asciiTheme="majorHAnsi" w:hAnsiTheme="majorHAnsi"/>
          <w:color w:val="808080" w:themeColor="background1" w:themeShade="80"/>
          <w:spacing w:val="-10"/>
          <w:sz w:val="44"/>
          <w:szCs w:val="44"/>
          <w:lang w:val="en-US"/>
        </w:rPr>
      </w:pPr>
      <w:r w:rsidRPr="00624C6F">
        <w:rPr>
          <w:rFonts w:asciiTheme="majorHAnsi" w:hAnsiTheme="majorHAnsi"/>
          <w:color w:val="808080" w:themeColor="background1" w:themeShade="80"/>
          <w:spacing w:val="-10"/>
          <w:sz w:val="44"/>
          <w:szCs w:val="44"/>
          <w:lang w:val="en-US"/>
        </w:rPr>
        <w:lastRenderedPageBreak/>
        <w:t>CHAPTER 3</w:t>
      </w:r>
    </w:p>
    <w:p w:rsidR="000666B4" w:rsidRPr="00624C6F" w:rsidRDefault="001F2B92" w:rsidP="000666B4">
      <w:pPr>
        <w:tabs>
          <w:tab w:val="left" w:pos="0"/>
        </w:tabs>
        <w:jc w:val="center"/>
        <w:rPr>
          <w:rFonts w:asciiTheme="majorHAnsi" w:hAnsiTheme="majorHAnsi"/>
          <w:color w:val="4A442A" w:themeColor="background2" w:themeShade="40"/>
          <w:spacing w:val="-10"/>
          <w:sz w:val="52"/>
          <w:szCs w:val="52"/>
          <w:lang w:val="en-US"/>
        </w:rPr>
      </w:pPr>
      <w:r w:rsidRPr="00624C6F">
        <w:rPr>
          <w:rFonts w:asciiTheme="majorHAnsi" w:hAnsiTheme="majorHAnsi"/>
          <w:color w:val="4A442A" w:themeColor="background2" w:themeShade="40"/>
          <w:spacing w:val="-10"/>
          <w:sz w:val="52"/>
          <w:szCs w:val="52"/>
          <w:lang w:val="en-US"/>
        </w:rPr>
        <w:t>STATE’S RESPONSE</w:t>
      </w:r>
    </w:p>
    <w:p w:rsidR="000666B4" w:rsidRPr="00624C6F" w:rsidRDefault="000666B4" w:rsidP="000666B4">
      <w:pPr>
        <w:ind w:left="547" w:hanging="547"/>
        <w:jc w:val="center"/>
        <w:rPr>
          <w:lang w:val="en-US"/>
        </w:rPr>
        <w:sectPr w:rsidR="000666B4" w:rsidRPr="00624C6F" w:rsidSect="000666B4">
          <w:headerReference w:type="default" r:id="rId30"/>
          <w:footerReference w:type="default" r:id="rId31"/>
          <w:type w:val="oddPage"/>
          <w:pgSz w:w="10080" w:h="14400" w:code="1"/>
          <w:pgMar w:top="1152" w:right="1152" w:bottom="1152" w:left="1296" w:header="720" w:footer="720" w:gutter="0"/>
          <w:cols w:space="720"/>
          <w:vAlign w:val="center"/>
          <w:docGrid w:linePitch="326"/>
        </w:sectPr>
      </w:pPr>
    </w:p>
    <w:p w:rsidR="001F2B92" w:rsidRPr="00624C6F" w:rsidRDefault="001F2B92" w:rsidP="000666B4">
      <w:pPr>
        <w:pStyle w:val="Ttulo1"/>
        <w:rPr>
          <w:rFonts w:ascii="Cambria" w:hAnsi="Cambria" w:cs="Tahoma"/>
          <w:sz w:val="20"/>
          <w:szCs w:val="20"/>
          <w:lang w:val="en-US"/>
        </w:rPr>
      </w:pPr>
      <w:bookmarkStart w:id="7" w:name="_Toc442694880"/>
      <w:r w:rsidRPr="00624C6F">
        <w:rPr>
          <w:lang w:val="en-US"/>
        </w:rPr>
        <w:lastRenderedPageBreak/>
        <w:t>STATE’S RESPONSE</w:t>
      </w:r>
      <w:bookmarkEnd w:id="7"/>
    </w:p>
    <w:p w:rsidR="001F2B92" w:rsidRPr="00624C6F" w:rsidRDefault="001F2B92" w:rsidP="000666B4">
      <w:pPr>
        <w:pStyle w:val="Ttulo2"/>
        <w:rPr>
          <w:lang w:val="en-US"/>
        </w:rPr>
      </w:pPr>
      <w:bookmarkStart w:id="8" w:name="_Toc442694881"/>
      <w:r w:rsidRPr="00624C6F">
        <w:rPr>
          <w:lang w:val="en-US"/>
        </w:rPr>
        <w:t>State Strategies to Deal with the Violence</w:t>
      </w:r>
      <w:bookmarkEnd w:id="8"/>
    </w:p>
    <w:p w:rsidR="001F2B92" w:rsidRPr="00C30382" w:rsidRDefault="001F2B92" w:rsidP="00C30382">
      <w:pPr>
        <w:pStyle w:val="Parrnumerado"/>
        <w:numPr>
          <w:ilvl w:val="0"/>
          <w:numId w:val="22"/>
        </w:numPr>
        <w:rPr>
          <w:rFonts w:ascii="Cambria" w:hAnsi="Cambria" w:cs="Tahoma"/>
        </w:rPr>
      </w:pPr>
      <w:r w:rsidRPr="00C30382">
        <w:rPr>
          <w:rFonts w:ascii="Cambria" w:hAnsi="Cambria" w:cs="Tahoma"/>
        </w:rPr>
        <w:t xml:space="preserve">In a context of great insecurity, where the national police </w:t>
      </w:r>
      <w:proofErr w:type="gramStart"/>
      <w:r w:rsidRPr="00C30382">
        <w:rPr>
          <w:rFonts w:ascii="Cambria" w:hAnsi="Cambria" w:cs="Tahoma"/>
        </w:rPr>
        <w:t>has</w:t>
      </w:r>
      <w:proofErr w:type="gramEnd"/>
      <w:r w:rsidRPr="00C30382">
        <w:rPr>
          <w:rFonts w:ascii="Cambria" w:hAnsi="Cambria" w:cs="Tahoma"/>
        </w:rPr>
        <w:t xml:space="preserve"> lost the confidence of the public due to a lack of effective response, allegations of corruption and links to organized crime, the State has focused its efforts on legal and institutional reforms, with the increased participation of the Armed Forces in functions that do not necessarily suit their natural role, relating, for example, to regular citizen security tasks. Various actors interviewed during the Commission’s visit referred to the existence of a process of militarization to address insecurity and an "open fight against organized crime" without a clear process for strengthening the national police. In what follows, the Commission will point out some of the major measures adopted by the State in this area.</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 xml:space="preserve">As the Commission already indicated, one of the central pillars of the State’s response to the serious structural problems of violence, impunity, corruption, and organized crime in the country is the intervention of the Armed Forces in many different spheres and functions. The Army actively participates in citizen security responsibilities through specialized forces such as “military police,” despite international standards indicating that citizen security should be the exclusive jurisdiction of a civilian police force, one that is respectful of human rights. The </w:t>
      </w:r>
      <w:r w:rsidRPr="00624C6F">
        <w:rPr>
          <w:rFonts w:asciiTheme="majorHAnsi" w:hAnsiTheme="majorHAnsi"/>
          <w:sz w:val="20"/>
          <w:szCs w:val="20"/>
          <w:lang w:val="en-US"/>
        </w:rPr>
        <w:t xml:space="preserve">Armed Forces are also involved in matters related to the civic education and training of children at “social risk,” through the “Guardians of the Nation” program. </w:t>
      </w:r>
    </w:p>
    <w:p w:rsidR="001F2B92" w:rsidRPr="00624C6F" w:rsidRDefault="001F2B92" w:rsidP="001F2B92">
      <w:pPr>
        <w:pStyle w:val="Prrafodelista"/>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From the previous government and continuing into the current government, which began in January 2014, a series of laws have been enacted regularizing the intervention of the Armed Forces in internal security tasks. On December 3, 2011, a decree interpreting Article 274 of the Constitution was approved, according to which the Armed Forces can perform specific functions of the police when a State of Emergency in Public Security is exceptionally declared through the issue of an Executive Order approved by the President of the Republic in Council of the Secretaries of State.</w:t>
      </w:r>
      <w:r w:rsidRPr="00624C6F">
        <w:rPr>
          <w:rStyle w:val="Refdenotaalpie"/>
          <w:rFonts w:ascii="Cambria" w:hAnsi="Cambria" w:cs="Tahoma"/>
          <w:sz w:val="20"/>
          <w:szCs w:val="20"/>
          <w:lang w:val="en-US"/>
        </w:rPr>
        <w:t xml:space="preserve"> </w:t>
      </w:r>
      <w:r w:rsidRPr="00624C6F">
        <w:rPr>
          <w:rStyle w:val="Refdenotaalpie"/>
          <w:rFonts w:ascii="Cambria" w:hAnsi="Cambria" w:cs="Tahoma"/>
          <w:sz w:val="20"/>
          <w:szCs w:val="20"/>
          <w:lang w:val="en-US"/>
        </w:rPr>
        <w:footnoteReference w:id="51"/>
      </w:r>
      <w:r w:rsidRPr="00624C6F">
        <w:rPr>
          <w:rFonts w:ascii="Cambria" w:hAnsi="Cambria" w:cs="Tahoma"/>
          <w:sz w:val="20"/>
          <w:szCs w:val="20"/>
          <w:lang w:val="en-US"/>
        </w:rPr>
        <w:t xml:space="preserve"> On December 5, 2011, the first exceptional state of emergency in national security was declared, and this was extended three times.</w:t>
      </w:r>
      <w:r w:rsidRPr="00624C6F">
        <w:rPr>
          <w:rStyle w:val="Refdenotaalpie"/>
          <w:rFonts w:ascii="Cambria" w:hAnsi="Cambria" w:cs="Tahoma"/>
          <w:sz w:val="20"/>
          <w:szCs w:val="20"/>
          <w:lang w:val="en-US"/>
        </w:rPr>
        <w:footnoteReference w:id="52"/>
      </w:r>
    </w:p>
    <w:p w:rsidR="001F2B92" w:rsidRPr="00624C6F" w:rsidRDefault="001F2B92" w:rsidP="001F2B92">
      <w:pPr>
        <w:ind w:left="547" w:hanging="547"/>
        <w:jc w:val="both"/>
        <w:rPr>
          <w:rFonts w:ascii="Cambria" w:eastAsia="Times New Roman"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eastAsia="Times New Roman" w:hAnsi="Cambria" w:cs="Tahoma"/>
          <w:sz w:val="20"/>
          <w:szCs w:val="20"/>
          <w:lang w:val="en-US"/>
        </w:rPr>
        <w:t xml:space="preserve">In that same year, the National Defense and Security Council was created, with the participation of: the President of the Supreme Court; the Attorney General; the </w:t>
      </w:r>
      <w:r w:rsidRPr="00624C6F">
        <w:rPr>
          <w:rFonts w:ascii="Cambria" w:eastAsia="Times New Roman" w:hAnsi="Cambria" w:cs="Tahoma"/>
          <w:sz w:val="20"/>
          <w:szCs w:val="20"/>
          <w:lang w:val="en-US"/>
        </w:rPr>
        <w:lastRenderedPageBreak/>
        <w:t>Secretary of State for Security; the Secretary of State for National Defense; and chaired by the President of the Republic, with the purpose of "guiding, designing, and overseeing general public policies" in the areas of security, national defense and intelligence, as well "harmonizing" actions to improve the performance of the entities involved.</w:t>
      </w:r>
      <w:r w:rsidR="00BB5ED1" w:rsidRPr="00624C6F">
        <w:rPr>
          <w:rFonts w:ascii="Cambria" w:hAnsi="Cambria" w:cs="Tahoma"/>
          <w:sz w:val="20"/>
          <w:szCs w:val="20"/>
          <w:lang w:val="en-US"/>
        </w:rPr>
        <w:t xml:space="preserve"> </w:t>
      </w:r>
      <w:r w:rsidRPr="00624C6F">
        <w:rPr>
          <w:rFonts w:ascii="Cambria" w:hAnsi="Cambria" w:cs="Tahoma"/>
          <w:sz w:val="20"/>
          <w:szCs w:val="20"/>
          <w:lang w:val="en-US"/>
        </w:rPr>
        <w:t xml:space="preserve"> </w:t>
      </w:r>
    </w:p>
    <w:p w:rsidR="001F2B92" w:rsidRPr="00624C6F" w:rsidRDefault="001F2B92" w:rsidP="001F2B92">
      <w:pPr>
        <w:pStyle w:val="Prrafodelista"/>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April 2013 saw the creation of the National Bureau of Investigation and Intelligence, attached to the National Defense and Security Council, as an independent structure from other ministries and institutions, with the aim of collecting and providing accurate and confidential information to members of the executive, legislative and judicial powers before taking decisions </w:t>
      </w:r>
      <w:proofErr w:type="gramStart"/>
      <w:r w:rsidRPr="00624C6F">
        <w:rPr>
          <w:rFonts w:ascii="Cambria" w:hAnsi="Cambria" w:cs="Tahoma"/>
          <w:sz w:val="20"/>
          <w:szCs w:val="20"/>
          <w:lang w:val="en-US"/>
        </w:rPr>
        <w:t>in the area of</w:t>
      </w:r>
      <w:proofErr w:type="gramEnd"/>
      <w:r w:rsidRPr="00624C6F">
        <w:rPr>
          <w:rFonts w:ascii="Cambria" w:hAnsi="Cambria" w:cs="Tahoma"/>
          <w:sz w:val="20"/>
          <w:szCs w:val="20"/>
          <w:lang w:val="en-US"/>
        </w:rPr>
        <w:t xml:space="preserve"> the fight against crime. Civil society organizations expressed their concern to the IACHR about this Council due to the lack of control over the information gathered in view of the fact that its director - who reports directly to the President – has discretionary powers over its use.</w:t>
      </w:r>
      <w:r w:rsidRPr="00624C6F">
        <w:rPr>
          <w:rStyle w:val="Refdenotaalpie"/>
          <w:rFonts w:ascii="Cambria" w:hAnsi="Cambria" w:cs="Tahoma"/>
          <w:sz w:val="20"/>
          <w:szCs w:val="20"/>
          <w:lang w:val="en-US"/>
        </w:rPr>
        <w:t xml:space="preserve"> </w:t>
      </w:r>
      <w:r w:rsidRPr="00624C6F">
        <w:rPr>
          <w:rStyle w:val="Refdenotaalpie"/>
          <w:rFonts w:ascii="Cambria" w:hAnsi="Cambria" w:cs="Tahoma"/>
          <w:sz w:val="20"/>
          <w:szCs w:val="20"/>
          <w:lang w:val="en-US"/>
        </w:rPr>
        <w:footnoteReference w:id="53"/>
      </w:r>
      <w:r w:rsidRPr="00624C6F">
        <w:rPr>
          <w:rFonts w:ascii="Cambria" w:hAnsi="Cambria" w:cs="Tahoma"/>
          <w:sz w:val="20"/>
          <w:szCs w:val="20"/>
          <w:lang w:val="en-US"/>
        </w:rPr>
        <w:t xml:space="preserve"> Similarly, they also indicated that this structure diminishes transparency, credibility, and legal certainty vis-a-vis official public prosecutions since it may intermingle with criminal investigations, within the competence of the Public Ministry.</w:t>
      </w:r>
      <w:r w:rsidRPr="00624C6F">
        <w:rPr>
          <w:rStyle w:val="Refdenotaalpie"/>
          <w:rFonts w:ascii="Cambria" w:hAnsi="Cambria" w:cs="Tahoma"/>
          <w:sz w:val="20"/>
          <w:szCs w:val="20"/>
          <w:lang w:val="en-US"/>
        </w:rPr>
        <w:footnoteReference w:id="54"/>
      </w:r>
      <w:r w:rsidR="00BB5ED1" w:rsidRPr="00624C6F">
        <w:rPr>
          <w:rFonts w:ascii="Cambria" w:hAnsi="Cambria" w:cs="Tahoma"/>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Furthermore, in 2014, the Inter-Agency Security Force (FUSINA) was created, with a permanent presence in the 18 departments of the country with the "aim of reducing the incidence of violence".</w:t>
      </w:r>
      <w:r w:rsidRPr="00624C6F">
        <w:rPr>
          <w:rStyle w:val="Refdenotaalpie"/>
          <w:rFonts w:ascii="Cambria" w:hAnsi="Cambria" w:cs="Tahoma"/>
          <w:sz w:val="20"/>
          <w:szCs w:val="20"/>
          <w:lang w:val="en-US"/>
        </w:rPr>
        <w:footnoteReference w:id="55"/>
      </w:r>
      <w:r w:rsidRPr="00624C6F">
        <w:rPr>
          <w:rFonts w:ascii="Cambria" w:hAnsi="Cambria" w:cs="Tahoma"/>
          <w:sz w:val="20"/>
          <w:szCs w:val="20"/>
          <w:lang w:val="en-US"/>
        </w:rPr>
        <w:t xml:space="preserve"> The FUSINA objective "is to work and run police and military-style security operations aimed at achieving a strategic goal: achieving peace and security for the Honduran citizen."</w:t>
      </w:r>
      <w:r w:rsidRPr="00624C6F">
        <w:rPr>
          <w:rStyle w:val="Refdenotaalpie"/>
          <w:rFonts w:ascii="Cambria" w:hAnsi="Cambria" w:cs="Tahoma"/>
          <w:sz w:val="20"/>
          <w:szCs w:val="20"/>
          <w:lang w:val="en-US"/>
        </w:rPr>
        <w:t xml:space="preserve"> </w:t>
      </w:r>
      <w:r w:rsidRPr="00624C6F">
        <w:rPr>
          <w:rStyle w:val="Refdenotaalpie"/>
          <w:rFonts w:ascii="Cambria" w:hAnsi="Cambria" w:cs="Tahoma"/>
          <w:sz w:val="20"/>
          <w:szCs w:val="20"/>
          <w:lang w:val="en-US"/>
        </w:rPr>
        <w:footnoteReference w:id="56"/>
      </w:r>
      <w:r w:rsidRPr="00624C6F">
        <w:rPr>
          <w:rFonts w:ascii="Cambria" w:hAnsi="Cambria" w:cs="Tahoma"/>
          <w:sz w:val="20"/>
          <w:szCs w:val="20"/>
          <w:lang w:val="en-US"/>
        </w:rPr>
        <w:t xml:space="preserve"> FUSINA is composed of the National Police, the Armed Forces of Honduras, the Public Ministry, the Supreme Court of Justice and the National Bureau of Investigation and Intelligence (DNII).</w:t>
      </w:r>
      <w:r w:rsidRPr="00624C6F">
        <w:rPr>
          <w:rStyle w:val="Refdenotaalpie"/>
          <w:rFonts w:ascii="Cambria" w:hAnsi="Cambria" w:cs="Tahoma"/>
          <w:sz w:val="20"/>
          <w:szCs w:val="20"/>
          <w:lang w:val="en-US"/>
        </w:rPr>
        <w:footnoteReference w:id="57"/>
      </w:r>
      <w:r w:rsidRPr="00624C6F">
        <w:rPr>
          <w:rFonts w:ascii="Cambria" w:hAnsi="Cambria" w:cs="Tahoma"/>
          <w:sz w:val="20"/>
          <w:szCs w:val="20"/>
          <w:lang w:val="en-US"/>
        </w:rPr>
        <w:t xml:space="preserve"> </w:t>
      </w:r>
    </w:p>
    <w:p w:rsidR="001F2B92" w:rsidRPr="00624C6F" w:rsidRDefault="001F2B92" w:rsidP="001F2B92">
      <w:pPr>
        <w:pStyle w:val="Prrafodelista"/>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According to the State, since its inception, it has undertaken 27,153 saturation operations; </w:t>
      </w:r>
      <w:proofErr w:type="gramStart"/>
      <w:r w:rsidRPr="00624C6F">
        <w:rPr>
          <w:rFonts w:ascii="Cambria" w:hAnsi="Cambria" w:cs="Tahoma"/>
          <w:sz w:val="20"/>
          <w:szCs w:val="20"/>
          <w:lang w:val="en-US"/>
        </w:rPr>
        <w:t>64,238 foot</w:t>
      </w:r>
      <w:proofErr w:type="gramEnd"/>
      <w:r w:rsidRPr="00624C6F">
        <w:rPr>
          <w:rFonts w:ascii="Cambria" w:hAnsi="Cambria" w:cs="Tahoma"/>
          <w:sz w:val="20"/>
          <w:szCs w:val="20"/>
          <w:lang w:val="en-US"/>
        </w:rPr>
        <w:t xml:space="preserve"> patrols; 117,278 mobile patrols; 198,045 fixed checkpoints; 55,025 mobile checkpoints and 455 raids. In addition, from January 28, 2014 to March 2015, 2,661 arrest warrants were executed; there were 57,010 preventive detentions for public order offenses; 3,079 people arrested for domestic violence; the capture of 943 criminal gangs amounting to 2,862 people arrested for various crimes and 7 captures of the most wanted by extradition request.</w:t>
      </w:r>
      <w:r w:rsidRPr="00624C6F">
        <w:rPr>
          <w:rStyle w:val="Refdenotaalpie"/>
          <w:rFonts w:ascii="Cambria" w:hAnsi="Cambria" w:cs="Tahoma"/>
          <w:sz w:val="20"/>
          <w:szCs w:val="20"/>
          <w:lang w:val="en-US"/>
        </w:rPr>
        <w:footnoteReference w:id="58"/>
      </w:r>
    </w:p>
    <w:p w:rsidR="001F2B92" w:rsidRPr="00624C6F" w:rsidRDefault="001F2B92" w:rsidP="001F2B92">
      <w:pPr>
        <w:pStyle w:val="Prrafodelista"/>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proofErr w:type="gramStart"/>
      <w:r w:rsidRPr="00624C6F">
        <w:rPr>
          <w:rFonts w:ascii="Cambria" w:hAnsi="Cambria" w:cs="Tahoma"/>
          <w:sz w:val="20"/>
          <w:szCs w:val="20"/>
          <w:lang w:val="en-US"/>
        </w:rPr>
        <w:t>In particular, the</w:t>
      </w:r>
      <w:proofErr w:type="gramEnd"/>
      <w:r w:rsidRPr="00624C6F">
        <w:rPr>
          <w:rFonts w:ascii="Cambria" w:hAnsi="Cambria" w:cs="Tahoma"/>
          <w:sz w:val="20"/>
          <w:szCs w:val="20"/>
          <w:lang w:val="en-US"/>
        </w:rPr>
        <w:t xml:space="preserve"> Commission notes that in recent years there has been an increase in military spending. World Bank figures show that from military spending of 1% of GDP in 2012, it rose to 1.3% for 2014.</w:t>
      </w:r>
      <w:r w:rsidRPr="00624C6F">
        <w:rPr>
          <w:rStyle w:val="Refdenotaalpie"/>
          <w:rFonts w:ascii="Cambria" w:hAnsi="Cambria" w:cs="Tahoma"/>
          <w:sz w:val="20"/>
          <w:szCs w:val="20"/>
          <w:lang w:val="en-US"/>
        </w:rPr>
        <w:footnoteReference w:id="59"/>
      </w:r>
      <w:r w:rsidRPr="00624C6F">
        <w:rPr>
          <w:rFonts w:ascii="Cambria" w:hAnsi="Cambria" w:cs="Tahoma"/>
          <w:sz w:val="20"/>
          <w:szCs w:val="20"/>
          <w:lang w:val="en-US"/>
        </w:rPr>
        <w:t xml:space="preserve"> Similarly, according to information received, members of the military occupy high government positions, such as in Civil Aviation, the Merchant Navy, Immigration and the telephone company.</w:t>
      </w:r>
      <w:r w:rsidRPr="00624C6F">
        <w:rPr>
          <w:rStyle w:val="Refdenotaalpie"/>
          <w:rFonts w:ascii="Cambria" w:hAnsi="Cambria" w:cs="Tahoma"/>
          <w:sz w:val="20"/>
          <w:szCs w:val="20"/>
          <w:lang w:val="en-US"/>
        </w:rPr>
        <w:footnoteReference w:id="60"/>
      </w:r>
      <w:r w:rsidRPr="00624C6F">
        <w:rPr>
          <w:rFonts w:ascii="Cambria" w:hAnsi="Cambria" w:cs="Tahoma"/>
          <w:sz w:val="20"/>
          <w:szCs w:val="20"/>
          <w:lang w:val="en-US"/>
        </w:rPr>
        <w:t xml:space="preserve"> </w:t>
      </w:r>
    </w:p>
    <w:p w:rsidR="001F2B92" w:rsidRDefault="001F2B92" w:rsidP="001F2B92">
      <w:pPr>
        <w:pStyle w:val="Prrafodelista"/>
        <w:ind w:left="547" w:hanging="547"/>
        <w:rPr>
          <w:rFonts w:ascii="Cambria" w:hAnsi="Cambria" w:cs="Tahoma"/>
          <w:sz w:val="20"/>
          <w:szCs w:val="20"/>
          <w:lang w:val="en-US"/>
        </w:rPr>
      </w:pPr>
    </w:p>
    <w:p w:rsidR="0086515C" w:rsidRPr="00624C6F" w:rsidRDefault="0086515C" w:rsidP="001F2B92">
      <w:pPr>
        <w:pStyle w:val="Prrafodelista"/>
        <w:ind w:left="547" w:hanging="547"/>
        <w:rPr>
          <w:rFonts w:ascii="Cambria" w:hAnsi="Cambria" w:cs="Tahoma"/>
          <w:sz w:val="20"/>
          <w:szCs w:val="20"/>
          <w:lang w:val="en-US"/>
        </w:rPr>
      </w:pPr>
      <w:r>
        <w:rPr>
          <w:rFonts w:ascii="Cambria" w:hAnsi="Cambria" w:cs="Tahoma"/>
          <w:sz w:val="20"/>
          <w:szCs w:val="20"/>
          <w:lang w:val="en-US"/>
        </w:rPr>
        <w:t>[…]</w:t>
      </w:r>
    </w:p>
    <w:p w:rsidR="001F2B92" w:rsidRPr="00624C6F" w:rsidRDefault="001F2B92" w:rsidP="007910C7">
      <w:pPr>
        <w:pStyle w:val="Ttulo2"/>
        <w:keepNext/>
        <w:rPr>
          <w:lang w:val="en-US"/>
        </w:rPr>
      </w:pPr>
      <w:bookmarkStart w:id="9" w:name="_Toc442694885"/>
      <w:r w:rsidRPr="00624C6F">
        <w:rPr>
          <w:lang w:val="en-US"/>
        </w:rPr>
        <w:t>Violence and</w:t>
      </w:r>
      <w:r w:rsidR="00BB5ED1" w:rsidRPr="00624C6F">
        <w:rPr>
          <w:lang w:val="en-US"/>
        </w:rPr>
        <w:t xml:space="preserve"> </w:t>
      </w:r>
      <w:r w:rsidRPr="00624C6F">
        <w:rPr>
          <w:lang w:val="en-US"/>
        </w:rPr>
        <w:t>access to justice</w:t>
      </w:r>
      <w:bookmarkEnd w:id="9"/>
    </w:p>
    <w:p w:rsidR="001F2B92" w:rsidRPr="003428A5" w:rsidRDefault="001F2B92" w:rsidP="003428A5">
      <w:pPr>
        <w:pStyle w:val="Parrnumerado"/>
        <w:numPr>
          <w:ilvl w:val="0"/>
          <w:numId w:val="23"/>
        </w:numPr>
        <w:rPr>
          <w:rFonts w:ascii="Cambria" w:hAnsi="Cambria" w:cs="Tahoma"/>
        </w:rPr>
      </w:pPr>
      <w:bookmarkStart w:id="10" w:name="_GoBack"/>
      <w:bookmarkEnd w:id="10"/>
      <w:r w:rsidRPr="003428A5">
        <w:t xml:space="preserve">The effective observance of the rule of law is achieved, to a large extent, by ensuring an administration of justice that does not tolerate impunity. Society must perceive that the judicial branch applies the law equally and ensures all inhabitants the effective enjoyment of their rights. The Inter-American Commission has maintained that impunity is one of the serious problems related to the administration of justice in the hemisphere, and one of the obstacles to the definitive strengthening of the rule of law in </w:t>
      </w:r>
      <w:proofErr w:type="gramStart"/>
      <w:r w:rsidRPr="003428A5">
        <w:t>a number of</w:t>
      </w:r>
      <w:proofErr w:type="gramEnd"/>
      <w:r w:rsidRPr="003428A5">
        <w:t xml:space="preserve"> States of the region.</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In Honduras, the IACHR notes with concern that the high rate of violence that persists in the country has been correlated with a high demand for justice, which has not been met with an effective response by the State and has created a situation of structural impunity. In this regard, the IACHR has made previous reference to the weaknesses in the administration of justice associated with high rates of violence and impunity in the country.</w:t>
      </w:r>
      <w:r w:rsidRPr="00624C6F">
        <w:rPr>
          <w:rStyle w:val="Refdenotaalpie"/>
          <w:rFonts w:asciiTheme="majorHAnsi" w:hAnsiTheme="majorHAnsi"/>
          <w:sz w:val="20"/>
          <w:szCs w:val="20"/>
          <w:lang w:val="en-US"/>
        </w:rPr>
        <w:footnoteReference w:id="61"/>
      </w:r>
      <w:r w:rsidRPr="00624C6F">
        <w:rPr>
          <w:rFonts w:asciiTheme="majorHAnsi" w:hAnsiTheme="majorHAnsi"/>
          <w:sz w:val="20"/>
          <w:szCs w:val="20"/>
          <w:lang w:val="en-US"/>
        </w:rPr>
        <w:t xml:space="preserve"> Figures made public in 2013 by then-Attorney General Luis Alberto </w:t>
      </w:r>
      <w:proofErr w:type="spellStart"/>
      <w:r w:rsidRPr="00624C6F">
        <w:rPr>
          <w:rFonts w:asciiTheme="majorHAnsi" w:hAnsiTheme="majorHAnsi"/>
          <w:sz w:val="20"/>
          <w:szCs w:val="20"/>
          <w:lang w:val="en-US"/>
        </w:rPr>
        <w:t>Rubí</w:t>
      </w:r>
      <w:proofErr w:type="spellEnd"/>
      <w:r w:rsidRPr="00624C6F">
        <w:rPr>
          <w:rFonts w:asciiTheme="majorHAnsi" w:hAnsiTheme="majorHAnsi"/>
          <w:sz w:val="20"/>
          <w:szCs w:val="20"/>
          <w:lang w:val="en-US"/>
        </w:rPr>
        <w:t xml:space="preserve"> indicated that 80% of the homicides committed in Honduras went unpunished because of the lack of capacity of the investigative bodies.</w:t>
      </w:r>
      <w:r w:rsidRPr="00624C6F">
        <w:rPr>
          <w:rStyle w:val="Refdenotaalpie"/>
          <w:rFonts w:asciiTheme="majorHAnsi" w:hAnsiTheme="majorHAnsi"/>
          <w:sz w:val="20"/>
          <w:szCs w:val="20"/>
          <w:lang w:val="en-US"/>
        </w:rPr>
        <w:t xml:space="preserve"> </w:t>
      </w:r>
      <w:r w:rsidRPr="00624C6F">
        <w:rPr>
          <w:rStyle w:val="Refdenotaalpie"/>
          <w:rFonts w:asciiTheme="majorHAnsi" w:hAnsiTheme="majorHAnsi"/>
          <w:sz w:val="20"/>
          <w:szCs w:val="20"/>
          <w:lang w:val="en-US"/>
        </w:rPr>
        <w:footnoteReference w:id="62"/>
      </w:r>
      <w:r w:rsidRPr="00624C6F">
        <w:rPr>
          <w:rFonts w:asciiTheme="majorHAnsi" w:hAnsiTheme="majorHAnsi"/>
          <w:sz w:val="20"/>
          <w:szCs w:val="20"/>
          <w:lang w:val="en-US"/>
        </w:rPr>
        <w:t xml:space="preserve"> Civil society organizations interviewed believe that rates of ongoing impunity in Honduras range between 95 and 98%.</w:t>
      </w:r>
      <w:r w:rsidRPr="00624C6F">
        <w:rPr>
          <w:rStyle w:val="Refdenotaalpie"/>
          <w:rFonts w:asciiTheme="majorHAnsi" w:hAnsiTheme="majorHAnsi"/>
          <w:sz w:val="20"/>
          <w:szCs w:val="20"/>
          <w:lang w:val="en-US"/>
        </w:rPr>
        <w:footnoteReference w:id="63"/>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The Commission received the testimony of Wilfredo </w:t>
      </w:r>
      <w:proofErr w:type="spellStart"/>
      <w:r w:rsidRPr="00624C6F">
        <w:rPr>
          <w:rFonts w:asciiTheme="majorHAnsi" w:hAnsiTheme="majorHAnsi"/>
          <w:sz w:val="20"/>
          <w:szCs w:val="20"/>
          <w:lang w:val="en-US"/>
        </w:rPr>
        <w:t>Yáñez</w:t>
      </w:r>
      <w:proofErr w:type="spellEnd"/>
      <w:r w:rsidRPr="00624C6F">
        <w:rPr>
          <w:rFonts w:asciiTheme="majorHAnsi" w:hAnsiTheme="majorHAnsi"/>
          <w:sz w:val="20"/>
          <w:szCs w:val="20"/>
          <w:lang w:val="en-US"/>
        </w:rPr>
        <w:t>, whose son was killed in May 2012, allegedly by a military patrol, while he was riding his own motorcycle.</w:t>
      </w:r>
      <w:r w:rsidRPr="00624C6F">
        <w:rPr>
          <w:rStyle w:val="Refdenotaalpie"/>
          <w:rFonts w:asciiTheme="majorHAnsi" w:hAnsiTheme="majorHAnsi"/>
          <w:sz w:val="20"/>
          <w:szCs w:val="20"/>
          <w:lang w:val="en-US"/>
        </w:rPr>
        <w:footnoteReference w:id="64"/>
      </w:r>
      <w:r w:rsidRPr="00624C6F">
        <w:rPr>
          <w:rFonts w:asciiTheme="majorHAnsi" w:hAnsiTheme="majorHAnsi"/>
          <w:sz w:val="20"/>
          <w:szCs w:val="20"/>
          <w:lang w:val="en-US"/>
        </w:rPr>
        <w:t xml:space="preserve"> </w:t>
      </w:r>
      <w:r w:rsidRPr="00624C6F">
        <w:rPr>
          <w:rFonts w:asciiTheme="majorHAnsi" w:hAnsiTheme="majorHAnsi"/>
          <w:sz w:val="20"/>
          <w:szCs w:val="20"/>
          <w:lang w:val="en-US"/>
        </w:rPr>
        <w:lastRenderedPageBreak/>
        <w:t>Even though a complaint was filed with the Public Prosecutor’s Office because “I didn’t want this to remain a statistic…,”</w:t>
      </w:r>
      <w:r w:rsidRPr="00624C6F">
        <w:rPr>
          <w:rStyle w:val="Refdenotaalpie"/>
          <w:rFonts w:asciiTheme="majorHAnsi" w:hAnsiTheme="majorHAnsi"/>
          <w:sz w:val="20"/>
          <w:szCs w:val="20"/>
          <w:lang w:val="en-US"/>
        </w:rPr>
        <w:footnoteReference w:id="65"/>
      </w:r>
      <w:r w:rsidRPr="00624C6F">
        <w:rPr>
          <w:rFonts w:asciiTheme="majorHAnsi" w:hAnsiTheme="majorHAnsi"/>
          <w:sz w:val="20"/>
          <w:szCs w:val="20"/>
          <w:lang w:val="en-US"/>
        </w:rPr>
        <w:t xml:space="preserve"> and despite the existence of witnesses and evidence, the case has not gone to trial. “It hasn’t been easy to become one of the 3% of crimes that end up being tried in this country,” he said.</w:t>
      </w:r>
      <w:r w:rsidRPr="00624C6F">
        <w:rPr>
          <w:rStyle w:val="Refdenotaalpie"/>
          <w:rFonts w:asciiTheme="majorHAnsi" w:hAnsiTheme="majorHAnsi"/>
          <w:sz w:val="20"/>
          <w:szCs w:val="20"/>
          <w:lang w:val="en-US"/>
        </w:rPr>
        <w:footnoteReference w:id="66"/>
      </w:r>
      <w:r w:rsidRPr="00624C6F">
        <w:rPr>
          <w:rFonts w:asciiTheme="majorHAnsi" w:hAnsiTheme="majorHAnsi"/>
          <w:sz w:val="20"/>
          <w:szCs w:val="20"/>
          <w:lang w:val="en-US"/>
        </w:rPr>
        <w:t xml:space="preserve"> The IACHR also received the testimony of Aurora Rodríguez de Pineda, whose son Carlos David was reportedly killed by eight police officers; more than three years after this occurred, there has not been justice. In the words of Mrs. Rodríguez: </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711563">
      <w:pPr>
        <w:pStyle w:val="Citalarga"/>
        <w:rPr>
          <w:rFonts w:ascii="Cambria" w:hAnsi="Cambria"/>
          <w:lang w:val="en-US"/>
        </w:rPr>
      </w:pPr>
      <w:r w:rsidRPr="00624C6F">
        <w:rPr>
          <w:lang w:val="en-US"/>
        </w:rPr>
        <w:t>I’ve been battling this for three years. My loved ones deserve justice. The right to justice is not guaranteed, and for the few of us who end up having ‘access to justice,’ they end up involving us in ‘intrigues and manipulations,’ in addition to re-victimizing us…. The biggest problem in the investigations is the manipulation of evidence on the part of the Public Prosecutor’s Office.</w:t>
      </w:r>
      <w:r w:rsidRPr="00624C6F">
        <w:rPr>
          <w:rStyle w:val="Refdenotaalpie"/>
          <w:sz w:val="20"/>
          <w:lang w:val="en-US"/>
        </w:rPr>
        <w:footnoteReference w:id="67"/>
      </w: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Various civil society organizations told the Commission that the possibility of attaining justice is thwarted beginning with the first steps in the investigation. They pointed to the poor management of crime scenes, the failure to take key witness statements in a timely fashion, and irregularities in the handling of evidence, among other problems. In addition, the Commission was informed that there is a general state of “disorder,” in which actions are implemented, transfers and organizational changes made, commissions created, personnel removed, and special security taxes imposed, and even a new military police force established,</w:t>
      </w:r>
      <w:r w:rsidRPr="00624C6F">
        <w:rPr>
          <w:rStyle w:val="Refdenotaalpie"/>
          <w:rFonts w:asciiTheme="majorHAnsi" w:hAnsiTheme="majorHAnsi"/>
          <w:sz w:val="20"/>
          <w:szCs w:val="20"/>
          <w:lang w:val="en-US"/>
        </w:rPr>
        <w:footnoteReference w:id="68"/>
      </w:r>
      <w:r w:rsidRPr="00624C6F">
        <w:rPr>
          <w:rFonts w:asciiTheme="majorHAnsi" w:hAnsiTheme="majorHAnsi"/>
          <w:sz w:val="20"/>
          <w:szCs w:val="20"/>
          <w:lang w:val="en-US"/>
        </w:rPr>
        <w:t xml:space="preserve"> and that these have not solved the problems in investigations and access to justice.</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In a country such as Honduras, where there is high turnover of personnel and duties, the State needs to invest in the permanent training of its personnel on their specific responsibilities depending on their role in the investigation of acts of violence. Honduras needs to strengthen its institutional capacity and its procedures designed to respond to violence, including assigning additional human and material resources to the Public Prosecutors’ Offices and other bodies responsible for addressing and suppressing these violations of rights.</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For some civil society organizations, the proliferation of institutions created with the authority to investigate crimes has led to confusion among the authorities themselves as to what their duties are, as there is apparently no coordination among them. Thus, for example, there is the National Bureau of Criminal Investigation </w:t>
      </w:r>
      <w:r w:rsidRPr="00624C6F">
        <w:rPr>
          <w:rFonts w:asciiTheme="majorHAnsi" w:hAnsiTheme="majorHAnsi"/>
          <w:sz w:val="20"/>
          <w:szCs w:val="20"/>
          <w:lang w:val="en-US"/>
        </w:rPr>
        <w:lastRenderedPageBreak/>
        <w:t xml:space="preserve">(2008), whose purpose is to investigate ordinary crimes, identify those responsible, and provide the necessary elements for prosecution; at the same time, there is the National Bureau of Special Investigative Services (2008), whose purpose is to address matters related to the investigation of special crimes such as contraband, fraud, and tax evasion, among others. As it was pointed out, there is also the “TIGRES” Strategy (2013), whose duties include “safeguarding the public order [and] preventing and investigating crime…” or the Technical Agency for Criminal Investigation (ATIC) (2014), which investigates serious crimes with a significant social impact; this office is responsible for investigating the crimes specified in Article 184 of the Criminal Procedure Code, that is those that do not allow substitute measures to be imposed. Similarly, the ATIC has the powers that the Criminal Procedure Code assigns to the National Bureau of Criminal Investigation. There </w:t>
      </w:r>
      <w:proofErr w:type="gramStart"/>
      <w:r w:rsidRPr="00624C6F">
        <w:rPr>
          <w:rFonts w:asciiTheme="majorHAnsi" w:hAnsiTheme="majorHAnsi"/>
          <w:sz w:val="20"/>
          <w:szCs w:val="20"/>
          <w:lang w:val="en-US"/>
        </w:rPr>
        <w:t>is</w:t>
      </w:r>
      <w:proofErr w:type="gramEnd"/>
      <w:r w:rsidRPr="00624C6F">
        <w:rPr>
          <w:rFonts w:asciiTheme="majorHAnsi" w:hAnsiTheme="majorHAnsi"/>
          <w:sz w:val="20"/>
          <w:szCs w:val="20"/>
          <w:lang w:val="en-US"/>
        </w:rPr>
        <w:t xml:space="preserve"> also the military police; while this body has specific duties related to the investigation of organized crime, it also has the authority to carry out its own investigations, under orders from the National Defense and Security Council.</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proofErr w:type="gramStart"/>
      <w:r w:rsidRPr="00624C6F">
        <w:rPr>
          <w:rFonts w:asciiTheme="majorHAnsi" w:hAnsiTheme="majorHAnsi"/>
          <w:sz w:val="20"/>
          <w:szCs w:val="20"/>
          <w:lang w:val="en-US"/>
        </w:rPr>
        <w:t>A similar situation</w:t>
      </w:r>
      <w:proofErr w:type="gramEnd"/>
      <w:r w:rsidRPr="00624C6F">
        <w:rPr>
          <w:rFonts w:asciiTheme="majorHAnsi" w:hAnsiTheme="majorHAnsi"/>
          <w:sz w:val="20"/>
          <w:szCs w:val="20"/>
          <w:lang w:val="en-US"/>
        </w:rPr>
        <w:t xml:space="preserve"> can apparently be seen in the Public Prosecutor’s Office. Currently, the General Office of Public Prosecutors is divided as follows</w:t>
      </w:r>
      <w:r w:rsidRPr="00624C6F">
        <w:rPr>
          <w:rStyle w:val="Refdenotaalpie"/>
          <w:rFonts w:asciiTheme="majorHAnsi" w:hAnsiTheme="majorHAnsi"/>
          <w:sz w:val="20"/>
          <w:szCs w:val="20"/>
          <w:lang w:val="en-US"/>
        </w:rPr>
        <w:footnoteReference w:id="69"/>
      </w:r>
      <w:r w:rsidRPr="00624C6F">
        <w:rPr>
          <w:rFonts w:asciiTheme="majorHAnsi" w:hAnsiTheme="majorHAnsi"/>
          <w:sz w:val="20"/>
          <w:szCs w:val="20"/>
          <w:lang w:val="en-US"/>
        </w:rPr>
        <w:t>: (a) Offices of Special Prosecutors—against Organized Crime; for Transparency and Combatting Public Corruption; for Human Rights; for Women; for Minors; for the Environment; for Consumer Protection and Senior Citizens; for Ethnic Groups and Cultural Heritage; for the Defense of the Constitution; for Appeals; for Civil Matters; for Prosecution of Officials and Civil Servants of the Public Prosecutor’s Office; and for Crimes against Life; (b) Office of the Public Prosecutor for Common Crime; and (c) Offices of Regional Public Prosecutors.</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Specifically, the Commission received information regarding the role of the Office of the Special Prosecutor for Crimes against Life, in which all investigations affecting the right to life in Honduras are apparently centralized, including investigations that require a specialization. For example, gender-motivated killings of women, which previously were investigated by the Office of the Special Prosecutor for Women, are now investigated by this Special Prosecutor’s Office. According to some individuals interviewed, this separation of the investigation has not been accompanied by coordination between these two units, nor has there been a transfer of capacities, a situation which could affect the gender analysis in cases in which women are killed because of their gender.</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This duplication of offices, and in some cases functions, can create confusion </w:t>
      </w:r>
      <w:proofErr w:type="gramStart"/>
      <w:r w:rsidRPr="00624C6F">
        <w:rPr>
          <w:rFonts w:asciiTheme="majorHAnsi" w:hAnsiTheme="majorHAnsi"/>
          <w:sz w:val="20"/>
          <w:szCs w:val="20"/>
          <w:lang w:val="en-US"/>
        </w:rPr>
        <w:t>with regard to</w:t>
      </w:r>
      <w:proofErr w:type="gramEnd"/>
      <w:r w:rsidRPr="00624C6F">
        <w:rPr>
          <w:rFonts w:asciiTheme="majorHAnsi" w:hAnsiTheme="majorHAnsi"/>
          <w:sz w:val="20"/>
          <w:szCs w:val="20"/>
          <w:lang w:val="en-US"/>
        </w:rPr>
        <w:t xml:space="preserve"> each entity’s obligations, which in turn could have repercussions in terms of an effective and timely State response. The procedures for investigating, as well as the entity in charge, should be clearly defined and should not give rise to confusion. </w:t>
      </w:r>
      <w:proofErr w:type="gramStart"/>
      <w:r w:rsidRPr="00624C6F">
        <w:rPr>
          <w:rFonts w:asciiTheme="majorHAnsi" w:hAnsiTheme="majorHAnsi"/>
          <w:sz w:val="20"/>
          <w:szCs w:val="20"/>
          <w:lang w:val="en-US"/>
        </w:rPr>
        <w:t>Thus</w:t>
      </w:r>
      <w:proofErr w:type="gramEnd"/>
      <w:r w:rsidRPr="00624C6F">
        <w:rPr>
          <w:rFonts w:asciiTheme="majorHAnsi" w:hAnsiTheme="majorHAnsi"/>
          <w:sz w:val="20"/>
          <w:szCs w:val="20"/>
          <w:lang w:val="en-US"/>
        </w:rPr>
        <w:t xml:space="preserve"> it is essential for the State to adopt all necessary measures to ensure that all civil servants at the institutions involved in investigating a crime have specialized capacity, knowledge and experience, understand the procedures established for each type of crime, as well as the entities and authorities responsible and their obligations under the established rules.</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lastRenderedPageBreak/>
        <w:t>The State informed the Commission that the Law on the Public Prosecutor’s Office was amended to create the ATIC, so as to ensure effectiveness in the collection of evidence in the context of the law, to be able to substantiate a criminal accusation.</w:t>
      </w:r>
      <w:r w:rsidRPr="00624C6F">
        <w:rPr>
          <w:rStyle w:val="Refdenotaalpie"/>
          <w:rFonts w:asciiTheme="majorHAnsi" w:hAnsiTheme="majorHAnsi"/>
          <w:sz w:val="20"/>
          <w:szCs w:val="20"/>
          <w:lang w:val="en-US"/>
        </w:rPr>
        <w:footnoteReference w:id="70"/>
      </w:r>
      <w:r w:rsidRPr="00624C6F">
        <w:rPr>
          <w:rFonts w:asciiTheme="majorHAnsi" w:hAnsiTheme="majorHAnsi"/>
          <w:sz w:val="20"/>
          <w:szCs w:val="20"/>
          <w:lang w:val="en-US"/>
        </w:rPr>
        <w:t xml:space="preserve"> According to the State, in 2013 the Office of the Special Prosecutor for Human Rights received 1,141 complaints; issued 73 orders to prosecute; obtained 29 indictments, 17 convictions, and 8 acquittals; and proceeded with the administrative closure of 179 cases. As of December 2014, 367 complaints were reported; 12 orders to prosecute were issued; 7 cases were tried; 6 convictions were obtained, as well as 1 acquittal; and 432 cases were closed administratively.</w:t>
      </w:r>
      <w:r w:rsidRPr="00624C6F">
        <w:rPr>
          <w:rStyle w:val="Refdenotaalpie"/>
          <w:rFonts w:asciiTheme="majorHAnsi" w:hAnsiTheme="majorHAnsi"/>
          <w:sz w:val="20"/>
          <w:szCs w:val="20"/>
          <w:lang w:val="en-US"/>
        </w:rPr>
        <w:footnoteReference w:id="71"/>
      </w:r>
      <w:r w:rsidRPr="00624C6F">
        <w:rPr>
          <w:rFonts w:asciiTheme="majorHAnsi" w:hAnsiTheme="majorHAnsi"/>
          <w:sz w:val="20"/>
          <w:szCs w:val="20"/>
          <w:lang w:val="en-US"/>
        </w:rPr>
        <w:t xml:space="preserve"> </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For its part, the Office of the Special Prosecutor for Crimes against Life received 2,379 complaints in 2013; 177 orders to prosecute were issued, 115 cases were tried, and 53 convictions and 22 acquittals were handed down. In 2104, the Office of the Special Prosecutor for Crimes against Life received 1,079 complaints, issued 294 orders to prosecute, and obtained 188 indictments, 106 convictions, and 32 acquittals. In addition, the Office of the Special Prosecutor against Corruption attended to a total of 829 complaints, issued 10 orders to prosecute, tried 11 cases, and obtained 13 convictions and 11 acquittals.</w:t>
      </w:r>
      <w:r w:rsidRPr="00624C6F">
        <w:rPr>
          <w:rStyle w:val="Refdenotaalpie"/>
          <w:rFonts w:asciiTheme="majorHAnsi" w:hAnsiTheme="majorHAnsi"/>
          <w:sz w:val="20"/>
          <w:szCs w:val="20"/>
          <w:lang w:val="en-US"/>
        </w:rPr>
        <w:footnoteReference w:id="72"/>
      </w:r>
      <w:r w:rsidRPr="00624C6F">
        <w:rPr>
          <w:rFonts w:asciiTheme="majorHAnsi" w:hAnsiTheme="majorHAnsi"/>
          <w:sz w:val="20"/>
          <w:szCs w:val="20"/>
          <w:lang w:val="en-US"/>
        </w:rPr>
        <w:t xml:space="preserve"> </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For the Commission, impunity frustrates the expectations of justice for the direct victims of attacks and forces them to limit its situations and plans in the context of violence in which it is immersed. Both the Inter-American Commission and Court have condemned the impunity of violations of fundamental rights, as impunity facilitates the continuing repetition of human rights violations and the total defenselessness of victims and their families.</w:t>
      </w:r>
      <w:r w:rsidRPr="00624C6F">
        <w:rPr>
          <w:rStyle w:val="Refdenotaalpie"/>
          <w:rFonts w:asciiTheme="majorHAnsi" w:hAnsiTheme="majorHAnsi"/>
          <w:sz w:val="20"/>
          <w:szCs w:val="20"/>
          <w:lang w:val="en-US"/>
        </w:rPr>
        <w:footnoteReference w:id="73"/>
      </w:r>
      <w:r w:rsidRPr="00624C6F">
        <w:rPr>
          <w:rFonts w:asciiTheme="majorHAnsi" w:hAnsiTheme="majorHAnsi"/>
          <w:sz w:val="20"/>
          <w:szCs w:val="20"/>
          <w:lang w:val="en-US"/>
        </w:rPr>
        <w:t xml:space="preserve"> The adequate and effective administration of justice on the part of the judicial branch and, to an appropriate extent, of disciplinary entities, has a fundamental role not only in terms of reparations but also in terms of the lessening of the risk and the scope of violence.</w:t>
      </w:r>
      <w:r w:rsidRPr="00624C6F">
        <w:rPr>
          <w:rStyle w:val="Refdenotaalpie"/>
          <w:rFonts w:asciiTheme="majorHAnsi" w:hAnsiTheme="majorHAnsi"/>
          <w:sz w:val="20"/>
          <w:szCs w:val="20"/>
          <w:lang w:val="en-US"/>
        </w:rPr>
        <w:footnoteReference w:id="74"/>
      </w:r>
      <w:r w:rsidRPr="00624C6F">
        <w:rPr>
          <w:rFonts w:asciiTheme="majorHAnsi" w:hAnsiTheme="majorHAnsi"/>
          <w:sz w:val="20"/>
          <w:szCs w:val="20"/>
          <w:lang w:val="en-US"/>
        </w:rPr>
        <w:t xml:space="preserve"> </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711563">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On another matter, the Commission noted that as of 2015, the human rights violations perpetrated during the coup d’état appears to remain in impunity. The authorities responsible for investigating, prosecuting, and punishing the human rights violations are said to continue to systematically deny the existence of the violations committed, which has resulted in inaction, tolerance, and even dismissal </w:t>
      </w:r>
      <w:r w:rsidRPr="00624C6F">
        <w:rPr>
          <w:rFonts w:asciiTheme="majorHAnsi" w:hAnsiTheme="majorHAnsi"/>
          <w:sz w:val="20"/>
          <w:szCs w:val="20"/>
          <w:lang w:val="en-US"/>
        </w:rPr>
        <w:lastRenderedPageBreak/>
        <w:t xml:space="preserve">of any charges against those who carried out the coup and the </w:t>
      </w:r>
      <w:proofErr w:type="gramStart"/>
      <w:r w:rsidRPr="00624C6F">
        <w:rPr>
          <w:rFonts w:asciiTheme="majorHAnsi" w:hAnsiTheme="majorHAnsi"/>
          <w:sz w:val="20"/>
          <w:szCs w:val="20"/>
          <w:lang w:val="en-US"/>
        </w:rPr>
        <w:t>aforementioned violations</w:t>
      </w:r>
      <w:proofErr w:type="gramEnd"/>
      <w:r w:rsidRPr="00624C6F">
        <w:rPr>
          <w:rFonts w:asciiTheme="majorHAnsi" w:hAnsiTheme="majorHAnsi"/>
          <w:sz w:val="20"/>
          <w:szCs w:val="20"/>
          <w:lang w:val="en-US"/>
        </w:rPr>
        <w:t>.</w:t>
      </w:r>
      <w:r w:rsidRPr="00624C6F">
        <w:rPr>
          <w:rStyle w:val="Refdenotaalpie"/>
          <w:rFonts w:asciiTheme="majorHAnsi" w:hAnsiTheme="majorHAnsi"/>
          <w:sz w:val="20"/>
          <w:szCs w:val="20"/>
          <w:lang w:val="en-US"/>
        </w:rPr>
        <w:footnoteReference w:id="75"/>
      </w:r>
    </w:p>
    <w:p w:rsidR="001F2B92" w:rsidRPr="00624C6F" w:rsidRDefault="001F2B92" w:rsidP="00711563">
      <w:pPr>
        <w:pStyle w:val="Ttulo2"/>
        <w:rPr>
          <w:lang w:val="en-US"/>
        </w:rPr>
      </w:pPr>
      <w:bookmarkStart w:id="11" w:name="_Toc442694886"/>
      <w:r w:rsidRPr="00624C6F">
        <w:rPr>
          <w:lang w:val="en-US"/>
        </w:rPr>
        <w:t>Access to justice and judicial independence</w:t>
      </w:r>
      <w:bookmarkEnd w:id="11"/>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Within the Inter-American system, the right of access to justice follows from articles 8 and 25 of the American Convention, which set out the state obligations necessary to ensure that any person can seek protection and justice for acts that violate his or her rights.</w:t>
      </w:r>
      <w:r w:rsidR="00BB5ED1" w:rsidRPr="00624C6F">
        <w:rPr>
          <w:rFonts w:ascii="Cambria" w:hAnsi="Cambria" w:cs="Tahoma"/>
          <w:sz w:val="20"/>
          <w:szCs w:val="20"/>
          <w:lang w:val="en-US"/>
        </w:rPr>
        <w:t xml:space="preserve"> </w:t>
      </w:r>
      <w:r w:rsidRPr="00624C6F">
        <w:rPr>
          <w:rFonts w:ascii="Cambria" w:hAnsi="Cambria" w:cs="Tahoma"/>
          <w:sz w:val="20"/>
          <w:szCs w:val="20"/>
          <w:lang w:val="en-US"/>
        </w:rPr>
        <w:t xml:space="preserve">From those state obligations follow certain guarantees that States must afford to the justice operators </w:t>
      </w:r>
      <w:proofErr w:type="gramStart"/>
      <w:r w:rsidRPr="00624C6F">
        <w:rPr>
          <w:rFonts w:ascii="Cambria" w:hAnsi="Cambria" w:cs="Tahoma"/>
          <w:sz w:val="20"/>
          <w:szCs w:val="20"/>
          <w:lang w:val="en-US"/>
        </w:rPr>
        <w:t>so as to</w:t>
      </w:r>
      <w:proofErr w:type="gramEnd"/>
      <w:r w:rsidRPr="00624C6F">
        <w:rPr>
          <w:rFonts w:ascii="Cambria" w:hAnsi="Cambria" w:cs="Tahoma"/>
          <w:sz w:val="20"/>
          <w:szCs w:val="20"/>
          <w:lang w:val="en-US"/>
        </w:rPr>
        <w:t xml:space="preserve"> ensure their independence; with that, the State fulfills its obligation to afford persons access to justice. The Inter-American Court has written that unlike other public officials, judges have certain guarantees due to the independence that the judicial power must have for the sake of those on trial or parties to litigation, which the Court has understood as “essential for the exercise of the judicial function.”</w:t>
      </w:r>
      <w:r w:rsidRPr="00624C6F">
        <w:rPr>
          <w:rStyle w:val="Refdenotaalpie"/>
          <w:rFonts w:ascii="Cambria" w:hAnsi="Cambria" w:cs="Tahoma"/>
          <w:sz w:val="20"/>
          <w:szCs w:val="20"/>
          <w:lang w:val="en-US"/>
        </w:rPr>
        <w:footnoteReference w:id="76"/>
      </w:r>
      <w:r w:rsidRPr="00624C6F">
        <w:rPr>
          <w:rFonts w:ascii="Cambria" w:hAnsi="Cambria" w:cs="Tahoma"/>
          <w:sz w:val="20"/>
          <w:szCs w:val="20"/>
          <w:lang w:val="en-US"/>
        </w:rPr>
        <w:t xml:space="preserve"> Those guarantees are a corollary of the right of access to justice that every person enjoys and, in the case of judges, are “reinforced guarantees” of tenure so as to thereby ensure the necessary independence of the Judicial Branch.</w:t>
      </w:r>
      <w:r w:rsidRPr="00624C6F">
        <w:rPr>
          <w:rStyle w:val="Refdenotaalpie"/>
          <w:rFonts w:ascii="Cambria" w:hAnsi="Cambria" w:cs="Tahoma"/>
          <w:sz w:val="20"/>
          <w:szCs w:val="20"/>
          <w:lang w:val="en-US"/>
        </w:rPr>
        <w:footnoteReference w:id="77"/>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The IACHR highlights that it is also important to have a system that contains mechanisms to ensure the professional responsibility of the judges and prosecutors, as well as the compliance of their duties. These mechanisms, according to the Inter-American Court “implies that the disciplinary proceedings and sentencing proceedings in cases involving judges must necessarily respect the guarantees of due process and shall offer those affected an effective remedy.”</w:t>
      </w:r>
      <w:r w:rsidRPr="00624C6F">
        <w:rPr>
          <w:rStyle w:val="Refdenotaalpie"/>
          <w:rFonts w:ascii="Cambria" w:hAnsi="Cambria" w:cs="Tahoma"/>
          <w:sz w:val="20"/>
          <w:szCs w:val="20"/>
          <w:lang w:val="en-US"/>
        </w:rPr>
        <w:footnoteReference w:id="78"/>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The Commission has closely followed the reconstruction of the democratic order in Honduras following the coup d’état and has observed that justice operators have faced </w:t>
      </w:r>
      <w:proofErr w:type="gramStart"/>
      <w:r w:rsidRPr="00624C6F">
        <w:rPr>
          <w:rFonts w:asciiTheme="majorHAnsi" w:hAnsiTheme="majorHAnsi"/>
          <w:sz w:val="20"/>
          <w:szCs w:val="20"/>
          <w:lang w:val="en-US"/>
        </w:rPr>
        <w:t>a number of</w:t>
      </w:r>
      <w:proofErr w:type="gramEnd"/>
      <w:r w:rsidRPr="00624C6F">
        <w:rPr>
          <w:rFonts w:asciiTheme="majorHAnsi" w:hAnsiTheme="majorHAnsi"/>
          <w:sz w:val="20"/>
          <w:szCs w:val="20"/>
          <w:lang w:val="en-US"/>
        </w:rPr>
        <w:t xml:space="preserve"> challenges over the course of these years so that they can administer justice independently. This in turn has affected the confidence of the Honduran population in the institutions of justice.</w:t>
      </w:r>
    </w:p>
    <w:p w:rsidR="001F2B92" w:rsidRPr="00624C6F" w:rsidRDefault="001F2B92" w:rsidP="001F2B92">
      <w:pPr>
        <w:ind w:left="547" w:hanging="547"/>
        <w:jc w:val="both"/>
        <w:rPr>
          <w:rFonts w:ascii="Cambria" w:hAnsi="Cambria" w:cs="Tahoma"/>
          <w:sz w:val="20"/>
          <w:szCs w:val="20"/>
          <w:lang w:val="en-US"/>
        </w:rPr>
      </w:pPr>
    </w:p>
    <w:p w:rsidR="001F2B92" w:rsidRDefault="001F2B92" w:rsidP="00711563">
      <w:pPr>
        <w:numPr>
          <w:ilvl w:val="0"/>
          <w:numId w:val="7"/>
        </w:numPr>
        <w:ind w:left="547" w:hanging="547"/>
        <w:jc w:val="both"/>
        <w:rPr>
          <w:rFonts w:ascii="Cambria" w:hAnsi="Cambria" w:cs="Tahoma"/>
          <w:sz w:val="20"/>
          <w:szCs w:val="20"/>
          <w:lang w:val="en-US"/>
        </w:rPr>
      </w:pPr>
      <w:proofErr w:type="gramStart"/>
      <w:r w:rsidRPr="00624C6F">
        <w:rPr>
          <w:rFonts w:asciiTheme="majorHAnsi" w:hAnsiTheme="majorHAnsi"/>
          <w:sz w:val="20"/>
          <w:szCs w:val="20"/>
          <w:lang w:val="en-US"/>
        </w:rPr>
        <w:t>Despite the fact that</w:t>
      </w:r>
      <w:proofErr w:type="gramEnd"/>
      <w:r w:rsidRPr="00624C6F">
        <w:rPr>
          <w:rFonts w:asciiTheme="majorHAnsi" w:hAnsiTheme="majorHAnsi"/>
          <w:sz w:val="20"/>
          <w:szCs w:val="20"/>
          <w:lang w:val="en-US"/>
        </w:rPr>
        <w:t xml:space="preserve"> in various meetings with the State, the Commission received information concerning measures adopted for the purpose of restoring the confidence of society in the institutions responsible for the administration of justice,</w:t>
      </w:r>
      <w:r w:rsidRPr="00624C6F">
        <w:rPr>
          <w:rStyle w:val="Refdenotaalpie"/>
          <w:rFonts w:asciiTheme="majorHAnsi" w:hAnsiTheme="majorHAnsi"/>
          <w:sz w:val="20"/>
          <w:szCs w:val="20"/>
          <w:lang w:val="en-US"/>
        </w:rPr>
        <w:footnoteReference w:id="79"/>
      </w:r>
      <w:r w:rsidRPr="00624C6F">
        <w:rPr>
          <w:rFonts w:asciiTheme="majorHAnsi" w:hAnsiTheme="majorHAnsi"/>
          <w:sz w:val="20"/>
          <w:szCs w:val="20"/>
          <w:lang w:val="en-US"/>
        </w:rPr>
        <w:t xml:space="preserve"> the Commission notes that key challenges remain. A number of these </w:t>
      </w:r>
      <w:r w:rsidRPr="00624C6F">
        <w:rPr>
          <w:rFonts w:asciiTheme="majorHAnsi" w:hAnsiTheme="majorHAnsi"/>
          <w:sz w:val="20"/>
          <w:szCs w:val="20"/>
          <w:lang w:val="en-US"/>
        </w:rPr>
        <w:lastRenderedPageBreak/>
        <w:t>challenges stem from the legal framework provided by the State to regulate the administration of justice—f</w:t>
      </w:r>
      <w:r w:rsidRPr="00624C6F">
        <w:rPr>
          <w:rFonts w:ascii="Cambria" w:hAnsi="Cambria" w:cs="Tahoma"/>
          <w:sz w:val="20"/>
          <w:szCs w:val="20"/>
          <w:lang w:val="en-US"/>
        </w:rPr>
        <w:t xml:space="preserve">or example, the concept of prosecutors and judges of “national jurisdiction,” already addressed in this report; judicial independence; and the situation of the Public Prosecutor’s Office. In the next section, the Commission will focus on the following issues of greatest concern: judicial independence and the situation of the Public Prosecutor’s Office. </w:t>
      </w:r>
    </w:p>
    <w:p w:rsidR="005150D1" w:rsidRDefault="005150D1" w:rsidP="005150D1">
      <w:pPr>
        <w:jc w:val="both"/>
        <w:rPr>
          <w:rFonts w:ascii="Cambria" w:hAnsi="Cambria" w:cs="Tahoma"/>
          <w:sz w:val="20"/>
          <w:szCs w:val="20"/>
          <w:lang w:val="en-US"/>
        </w:rPr>
      </w:pPr>
    </w:p>
    <w:p w:rsidR="005150D1" w:rsidRPr="00624C6F" w:rsidRDefault="005150D1" w:rsidP="005150D1">
      <w:pPr>
        <w:jc w:val="both"/>
        <w:rPr>
          <w:rFonts w:ascii="Cambria" w:hAnsi="Cambria" w:cs="Tahoma"/>
          <w:sz w:val="20"/>
          <w:szCs w:val="20"/>
          <w:lang w:val="en-US"/>
        </w:rPr>
      </w:pPr>
    </w:p>
    <w:p w:rsidR="001F2B92" w:rsidRPr="00624C6F" w:rsidRDefault="001F2B92" w:rsidP="00711563">
      <w:pPr>
        <w:pStyle w:val="Ttulo3"/>
        <w:rPr>
          <w:lang w:val="en-US"/>
        </w:rPr>
      </w:pPr>
      <w:bookmarkStart w:id="12" w:name="_Toc442694887"/>
      <w:r w:rsidRPr="00624C6F">
        <w:rPr>
          <w:lang w:val="en-US"/>
        </w:rPr>
        <w:t>Judicial Independence</w:t>
      </w:r>
      <w:bookmarkEnd w:id="12"/>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principle of the independence of the Judiciary has been recognized as “international custom and general principle of law” and has been established in numerous international treaties.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The independence of </w:t>
      </w:r>
      <w:proofErr w:type="spellStart"/>
      <w:r w:rsidRPr="00624C6F">
        <w:rPr>
          <w:rFonts w:asciiTheme="majorHAnsi" w:hAnsiTheme="majorHAnsi"/>
          <w:sz w:val="20"/>
          <w:szCs w:val="20"/>
          <w:lang w:val="en-US"/>
        </w:rPr>
        <w:t>any body</w:t>
      </w:r>
      <w:proofErr w:type="spellEnd"/>
      <w:r w:rsidRPr="00624C6F">
        <w:rPr>
          <w:rFonts w:asciiTheme="majorHAnsi" w:hAnsiTheme="majorHAnsi"/>
          <w:sz w:val="20"/>
          <w:szCs w:val="20"/>
          <w:lang w:val="en-US"/>
        </w:rPr>
        <w:t xml:space="preserve"> or organ that performs jurisdictional functions is a condition sine qua non for the observance of the standards of due process as a human right.</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 lack of such independence affects exercise of the right of access to justice and creates mistrust and even fear of the courts, which discourages those who would otherwise turn to the courts for justice.</w:t>
      </w:r>
      <w:r w:rsidRPr="00624C6F">
        <w:rPr>
          <w:rStyle w:val="Refdenotaalpie"/>
          <w:rFonts w:asciiTheme="majorHAnsi" w:hAnsiTheme="majorHAnsi"/>
          <w:sz w:val="20"/>
          <w:szCs w:val="20"/>
          <w:lang w:val="en-US"/>
        </w:rPr>
        <w:footnoteReference w:id="80"/>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The Inter-American Commission has established that the guarantees necessary to ensure the correct and independent operation of the judicial branch include the mechanisms whereby judges are appointed, the stability they enjoy in their appointments, and their proper professional training. In addition, the courts must also be independent of the other branches of government—that is, free of all influence, threats, or interference, irrespective of their origin</w:t>
      </w:r>
      <w:r w:rsidRPr="00624C6F">
        <w:rPr>
          <w:rStyle w:val="Refdenotaalpie"/>
          <w:rFonts w:asciiTheme="majorHAnsi" w:hAnsiTheme="majorHAnsi"/>
          <w:sz w:val="20"/>
          <w:szCs w:val="20"/>
          <w:lang w:val="en-US"/>
        </w:rPr>
        <w:footnoteReference w:id="81"/>
      </w:r>
      <w:r w:rsidRPr="00624C6F">
        <w:rPr>
          <w:rFonts w:asciiTheme="majorHAnsi" w:hAnsiTheme="majorHAnsi"/>
          <w:sz w:val="20"/>
          <w:szCs w:val="20"/>
          <w:lang w:val="en-US"/>
        </w:rPr>
        <w:t xml:space="preserve">. These guarantees do not mean that judges will not exercise their duties according to law and to an adequate accountability. It means that any questioning to their work cannot be motivated on other interests and that the applicable processes must respect due guarantees. </w:t>
      </w:r>
    </w:p>
    <w:p w:rsidR="001F2B92" w:rsidRPr="00624C6F" w:rsidRDefault="001F2B92" w:rsidP="001F2B92">
      <w:pPr>
        <w:pStyle w:val="Prrafodelista"/>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The Commission calls to mind that even though States may establish different procedures for the appointment of justice operators,</w:t>
      </w:r>
      <w:r w:rsidRPr="00624C6F">
        <w:rPr>
          <w:rStyle w:val="Refdenotaalpie"/>
          <w:rFonts w:ascii="Cambria" w:hAnsi="Cambria"/>
          <w:sz w:val="20"/>
          <w:szCs w:val="20"/>
          <w:lang w:val="en-US"/>
        </w:rPr>
        <w:footnoteReference w:id="82"/>
      </w:r>
      <w:r w:rsidRPr="00624C6F">
        <w:rPr>
          <w:rFonts w:ascii="Cambria" w:hAnsi="Cambria"/>
          <w:sz w:val="20"/>
          <w:szCs w:val="20"/>
          <w:lang w:val="en-US"/>
        </w:rPr>
        <w:t xml:space="preserve"> not just any procedure satisfies the conditions demanded by the American Convention for the adequate implementation of a truly independent regime.</w:t>
      </w:r>
      <w:r w:rsidRPr="00624C6F">
        <w:rPr>
          <w:rStyle w:val="Refdenotaalpie"/>
          <w:rFonts w:ascii="Cambria" w:hAnsi="Cambria"/>
          <w:sz w:val="20"/>
          <w:szCs w:val="20"/>
          <w:lang w:val="en-US"/>
        </w:rPr>
        <w:footnoteReference w:id="83"/>
      </w:r>
      <w:r w:rsidRPr="00624C6F">
        <w:rPr>
          <w:rFonts w:ascii="Cambria" w:hAnsi="Cambria"/>
          <w:sz w:val="20"/>
          <w:szCs w:val="20"/>
          <w:lang w:val="en-US"/>
        </w:rPr>
        <w:t xml:space="preserve"> Only an appointment process that </w:t>
      </w:r>
      <w:r w:rsidRPr="00624C6F">
        <w:rPr>
          <w:rFonts w:ascii="Cambria" w:hAnsi="Cambria"/>
          <w:sz w:val="20"/>
          <w:szCs w:val="20"/>
          <w:lang w:val="en-US"/>
        </w:rPr>
        <w:lastRenderedPageBreak/>
        <w:t>is transparent, one that is based on objective criteria and guarantees the equality of opportunity for candidates, is a fundamental guarantee for judicial independence.</w:t>
      </w:r>
      <w:r w:rsidRPr="00624C6F">
        <w:rPr>
          <w:rStyle w:val="Refdenotaalpie"/>
          <w:rFonts w:ascii="Cambria" w:hAnsi="Cambria"/>
          <w:sz w:val="20"/>
          <w:szCs w:val="20"/>
          <w:lang w:val="en-US"/>
        </w:rPr>
        <w:footnoteReference w:id="84"/>
      </w:r>
      <w:r w:rsidRPr="00624C6F">
        <w:rPr>
          <w:rFonts w:ascii="Cambria" w:hAnsi="Cambria"/>
          <w:sz w:val="20"/>
          <w:szCs w:val="20"/>
          <w:lang w:val="en-US"/>
        </w:rPr>
        <w:t xml:space="preserve"> Thus States must publish in advance the vacancy announcements and procedures for applying, the qualifications required, the criteria, and the deadlines, so that any person who believes he or she meets the requirements can have the opportunity to apply for a post as a prosecutor, a judge, or a public defender.</w:t>
      </w:r>
      <w:r w:rsidRPr="00624C6F">
        <w:rPr>
          <w:rStyle w:val="Refdenotaalpie"/>
          <w:rFonts w:ascii="Cambria" w:hAnsi="Cambria"/>
          <w:sz w:val="20"/>
          <w:szCs w:val="20"/>
          <w:lang w:val="en-US"/>
        </w:rPr>
        <w:footnoteReference w:id="85"/>
      </w:r>
    </w:p>
    <w:p w:rsidR="001F2B92" w:rsidRPr="00D2487D" w:rsidRDefault="001F2B92" w:rsidP="00D2487D">
      <w:pPr>
        <w:rPr>
          <w:rFonts w:asciiTheme="majorHAnsi" w:hAnsiTheme="majorHAnsi"/>
          <w:sz w:val="20"/>
          <w:szCs w:val="20"/>
          <w:lang w:val="en-US"/>
        </w:rPr>
      </w:pPr>
    </w:p>
    <w:p w:rsidR="001F2B92" w:rsidRPr="00624C6F" w:rsidRDefault="001F2B92" w:rsidP="00711563">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In Honduras, the Commission has identified some challenges in the design and structure of the Judiciary. In this section the IACHR will focus on aspects related to the functioning of the Council of the Judiciary, specifically </w:t>
      </w:r>
      <w:proofErr w:type="gramStart"/>
      <w:r w:rsidRPr="00624C6F">
        <w:rPr>
          <w:rFonts w:asciiTheme="majorHAnsi" w:hAnsiTheme="majorHAnsi"/>
          <w:sz w:val="20"/>
          <w:szCs w:val="20"/>
          <w:lang w:val="en-US"/>
        </w:rPr>
        <w:t>with regard to</w:t>
      </w:r>
      <w:proofErr w:type="gramEnd"/>
      <w:r w:rsidRPr="00624C6F">
        <w:rPr>
          <w:rFonts w:asciiTheme="majorHAnsi" w:hAnsiTheme="majorHAnsi"/>
          <w:sz w:val="20"/>
          <w:szCs w:val="20"/>
          <w:lang w:val="en-US"/>
        </w:rPr>
        <w:t xml:space="preserve"> selection and appointment procedures, the process of judicial purging, and the application of trust test. Also, in the framework of access to justice, it will address aspects related to the Public Prosecutor’s Office.</w:t>
      </w:r>
    </w:p>
    <w:p w:rsidR="001F2B92" w:rsidRPr="00624C6F" w:rsidRDefault="001F2B92" w:rsidP="00711563">
      <w:pPr>
        <w:pStyle w:val="Ttulo4"/>
        <w:rPr>
          <w:lang w:val="en-US"/>
        </w:rPr>
      </w:pPr>
      <w:bookmarkStart w:id="13" w:name="_Toc442694888"/>
      <w:r w:rsidRPr="00624C6F">
        <w:rPr>
          <w:lang w:val="en-US"/>
        </w:rPr>
        <w:t>Council of the Judiciary</w:t>
      </w:r>
      <w:bookmarkEnd w:id="13"/>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The Commission has consistently stressed the importance for due process to be observed in cases involving the punishment of judges, </w:t>
      </w:r>
      <w:proofErr w:type="gramStart"/>
      <w:r w:rsidRPr="00624C6F">
        <w:rPr>
          <w:rFonts w:asciiTheme="majorHAnsi" w:hAnsiTheme="majorHAnsi"/>
          <w:sz w:val="20"/>
          <w:szCs w:val="20"/>
          <w:lang w:val="en-US"/>
        </w:rPr>
        <w:t>so as to</w:t>
      </w:r>
      <w:proofErr w:type="gramEnd"/>
      <w:r w:rsidRPr="00624C6F">
        <w:rPr>
          <w:rFonts w:asciiTheme="majorHAnsi" w:hAnsiTheme="majorHAnsi"/>
          <w:sz w:val="20"/>
          <w:szCs w:val="20"/>
          <w:lang w:val="en-US"/>
        </w:rPr>
        <w:t xml:space="preserve"> ensure their independence and thus guarantee due process in the cases they try. Having learned, in June 2009, about the arbitrary dismissal from office of </w:t>
      </w:r>
      <w:proofErr w:type="gramStart"/>
      <w:r w:rsidRPr="00624C6F">
        <w:rPr>
          <w:rFonts w:asciiTheme="majorHAnsi" w:hAnsiTheme="majorHAnsi"/>
          <w:sz w:val="20"/>
          <w:szCs w:val="20"/>
          <w:lang w:val="en-US"/>
        </w:rPr>
        <w:t>a number of</w:t>
      </w:r>
      <w:proofErr w:type="gramEnd"/>
      <w:r w:rsidRPr="00624C6F">
        <w:rPr>
          <w:rFonts w:asciiTheme="majorHAnsi" w:hAnsiTheme="majorHAnsi"/>
          <w:sz w:val="20"/>
          <w:szCs w:val="20"/>
          <w:lang w:val="en-US"/>
        </w:rPr>
        <w:t xml:space="preserve"> magistrates and judges in the context of the coup d’état,</w:t>
      </w:r>
      <w:r w:rsidRPr="00624C6F">
        <w:rPr>
          <w:rStyle w:val="Refdenotaalpie"/>
          <w:rFonts w:asciiTheme="majorHAnsi" w:hAnsiTheme="majorHAnsi"/>
          <w:sz w:val="20"/>
          <w:szCs w:val="20"/>
          <w:lang w:val="en-US"/>
        </w:rPr>
        <w:footnoteReference w:id="86"/>
      </w:r>
      <w:r w:rsidRPr="00624C6F">
        <w:rPr>
          <w:rFonts w:asciiTheme="majorHAnsi" w:hAnsiTheme="majorHAnsi"/>
          <w:sz w:val="20"/>
          <w:szCs w:val="20"/>
          <w:lang w:val="en-US"/>
        </w:rPr>
        <w:t xml:space="preserve"> and in 2012 about the summary dismissal of four Supreme Court justices,</w:t>
      </w:r>
      <w:r w:rsidRPr="00624C6F">
        <w:rPr>
          <w:rStyle w:val="Refdenotaalpie"/>
          <w:rFonts w:asciiTheme="majorHAnsi" w:hAnsiTheme="majorHAnsi"/>
          <w:sz w:val="20"/>
          <w:szCs w:val="20"/>
          <w:lang w:val="en-US"/>
        </w:rPr>
        <w:footnoteReference w:id="87"/>
      </w:r>
      <w:r w:rsidRPr="00624C6F">
        <w:rPr>
          <w:rFonts w:asciiTheme="majorHAnsi" w:hAnsiTheme="majorHAnsi"/>
          <w:sz w:val="20"/>
          <w:szCs w:val="20"/>
          <w:lang w:val="en-US"/>
        </w:rPr>
        <w:t xml:space="preserve"> the Commission believes it is necessary to pay special attention to the results obtained by the Council of the Judiciary in conducting disciplinary proceedings of judges during the more than one year since it began operations.</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Council of the Judiciary was created in November 2011. The law creating it establishes that the Council’s functions include appointing and removing magistrates on Courts of Appeals, judges, and other judicial and administrative personnel.</w:t>
      </w:r>
      <w:r w:rsidRPr="00624C6F">
        <w:rPr>
          <w:rStyle w:val="Refdenotaalpie"/>
          <w:rFonts w:asciiTheme="majorHAnsi" w:hAnsiTheme="majorHAnsi"/>
          <w:sz w:val="20"/>
          <w:szCs w:val="20"/>
          <w:lang w:val="en-US"/>
        </w:rPr>
        <w:footnoteReference w:id="88"/>
      </w:r>
      <w:r w:rsidRPr="00624C6F">
        <w:rPr>
          <w:rFonts w:asciiTheme="majorHAnsi" w:hAnsiTheme="majorHAnsi"/>
          <w:sz w:val="20"/>
          <w:szCs w:val="20"/>
          <w:lang w:val="en-US"/>
        </w:rPr>
        <w:t xml:space="preserve"> The members of the Council of the Judiciary were appointed in 2013, and since then that body has reportedly embarked on a purge of the Honduran </w:t>
      </w:r>
      <w:r w:rsidRPr="00624C6F">
        <w:rPr>
          <w:rFonts w:asciiTheme="majorHAnsi" w:hAnsiTheme="majorHAnsi"/>
          <w:sz w:val="20"/>
          <w:szCs w:val="20"/>
          <w:lang w:val="en-US"/>
        </w:rPr>
        <w:lastRenderedPageBreak/>
        <w:t>judicial system which will continue for the next five years, as one of its members stated publicly.</w:t>
      </w:r>
      <w:r w:rsidRPr="00624C6F">
        <w:rPr>
          <w:rStyle w:val="Refdenotaalpie"/>
          <w:rFonts w:asciiTheme="majorHAnsi" w:hAnsiTheme="majorHAnsi"/>
          <w:sz w:val="20"/>
          <w:szCs w:val="20"/>
          <w:lang w:val="en-US"/>
        </w:rPr>
        <w:footnoteReference w:id="89"/>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711563">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Commission stresses, first of all, that the creation of the Council of the Judiciary is in principle an important step to differentiate the functions involved in imparting justice from those involved in managing and governing the judiciary.</w:t>
      </w:r>
      <w:r w:rsidRPr="00624C6F">
        <w:rPr>
          <w:rStyle w:val="Refdenotaalpie"/>
          <w:rFonts w:asciiTheme="majorHAnsi" w:hAnsiTheme="majorHAnsi"/>
          <w:sz w:val="20"/>
          <w:szCs w:val="20"/>
          <w:lang w:val="en-US"/>
        </w:rPr>
        <w:footnoteReference w:id="90"/>
      </w:r>
      <w:r w:rsidRPr="00624C6F">
        <w:rPr>
          <w:rFonts w:asciiTheme="majorHAnsi" w:hAnsiTheme="majorHAnsi"/>
          <w:sz w:val="20"/>
          <w:szCs w:val="20"/>
          <w:lang w:val="en-US"/>
        </w:rPr>
        <w:t xml:space="preserve"> The IACHR also observes that, unlike the previous system, the current legal framework does not obstruct the filing of appeals to challenge decisions, whether through an action seeking constitutional relief (</w:t>
      </w:r>
      <w:r w:rsidRPr="00624C6F">
        <w:rPr>
          <w:rFonts w:asciiTheme="majorHAnsi" w:hAnsiTheme="majorHAnsi"/>
          <w:i/>
          <w:sz w:val="20"/>
          <w:szCs w:val="20"/>
          <w:lang w:val="en-US"/>
        </w:rPr>
        <w:t>amparo</w:t>
      </w:r>
      <w:r w:rsidRPr="00624C6F">
        <w:rPr>
          <w:rFonts w:asciiTheme="majorHAnsi" w:hAnsiTheme="majorHAnsi"/>
          <w:sz w:val="20"/>
          <w:szCs w:val="20"/>
          <w:lang w:val="en-US"/>
        </w:rPr>
        <w:t xml:space="preserve">) or through a contentious-administrative proceeding. Nevertheless, throughout its visit the Commission noted with concern that </w:t>
      </w:r>
      <w:proofErr w:type="gramStart"/>
      <w:r w:rsidRPr="00624C6F">
        <w:rPr>
          <w:rFonts w:asciiTheme="majorHAnsi" w:hAnsiTheme="majorHAnsi"/>
          <w:sz w:val="20"/>
          <w:szCs w:val="20"/>
          <w:lang w:val="en-US"/>
        </w:rPr>
        <w:t>a number of</w:t>
      </w:r>
      <w:proofErr w:type="gramEnd"/>
      <w:r w:rsidRPr="00624C6F">
        <w:rPr>
          <w:rFonts w:asciiTheme="majorHAnsi" w:hAnsiTheme="majorHAnsi"/>
          <w:sz w:val="20"/>
          <w:szCs w:val="20"/>
          <w:lang w:val="en-US"/>
        </w:rPr>
        <w:t xml:space="preserve"> justice operators expressed to the IACHR their fear over the Council’s lack of proper investigative proceedings, and over the possibility for its actions to be motivated by political interests without respecting the independence of judges.</w:t>
      </w:r>
      <w:r w:rsidRPr="00624C6F">
        <w:rPr>
          <w:rStyle w:val="Refdenotaalpie"/>
          <w:rFonts w:asciiTheme="majorHAnsi" w:hAnsiTheme="majorHAnsi"/>
          <w:sz w:val="20"/>
          <w:szCs w:val="20"/>
          <w:lang w:val="en-US"/>
        </w:rPr>
        <w:footnoteReference w:id="91"/>
      </w:r>
      <w:r w:rsidRPr="00624C6F">
        <w:rPr>
          <w:rFonts w:asciiTheme="majorHAnsi" w:hAnsiTheme="majorHAnsi"/>
          <w:sz w:val="20"/>
          <w:szCs w:val="20"/>
          <w:lang w:val="en-US"/>
        </w:rPr>
        <w:t xml:space="preserve"> </w:t>
      </w:r>
    </w:p>
    <w:p w:rsidR="001F2B92" w:rsidRPr="00624C6F" w:rsidRDefault="001F2B92" w:rsidP="00711563">
      <w:pPr>
        <w:pStyle w:val="Ttulo4"/>
        <w:rPr>
          <w:lang w:val="en-US"/>
        </w:rPr>
      </w:pPr>
      <w:bookmarkStart w:id="14" w:name="_Toc442694889"/>
      <w:r w:rsidRPr="00624C6F">
        <w:rPr>
          <w:lang w:val="en-US"/>
        </w:rPr>
        <w:t>Selection and Appointment Procedures</w:t>
      </w:r>
      <w:bookmarkEnd w:id="14"/>
    </w:p>
    <w:p w:rsidR="001F2B92" w:rsidRPr="00624C6F" w:rsidRDefault="001F2B92" w:rsidP="001F2B92">
      <w:pPr>
        <w:numPr>
          <w:ilvl w:val="0"/>
          <w:numId w:val="7"/>
        </w:numPr>
        <w:ind w:left="547" w:hanging="547"/>
        <w:jc w:val="both"/>
        <w:rPr>
          <w:rFonts w:ascii="Cambria" w:hAnsi="Cambria" w:cs="Tahoma"/>
          <w:sz w:val="20"/>
          <w:szCs w:val="20"/>
          <w:lang w:val="en-US"/>
        </w:rPr>
      </w:pPr>
      <w:proofErr w:type="gramStart"/>
      <w:r w:rsidRPr="00624C6F">
        <w:rPr>
          <w:rFonts w:asciiTheme="majorHAnsi" w:hAnsiTheme="majorHAnsi"/>
          <w:sz w:val="20"/>
          <w:szCs w:val="20"/>
          <w:lang w:val="en-US"/>
        </w:rPr>
        <w:t>With regard to</w:t>
      </w:r>
      <w:proofErr w:type="gramEnd"/>
      <w:r w:rsidRPr="00624C6F">
        <w:rPr>
          <w:rFonts w:asciiTheme="majorHAnsi" w:hAnsiTheme="majorHAnsi"/>
          <w:sz w:val="20"/>
          <w:szCs w:val="20"/>
          <w:lang w:val="en-US"/>
        </w:rPr>
        <w:t xml:space="preserve"> procedures for selecting and appointing judges, the IACHR was informed that in March 2014, the Council of the Judiciary had appointed 23 judges to substitute those who had been removed or suspended, but through a process that allegedly lacked transparency, as those named on an interim basis—pending the administration of trust tests—had reportedly gone through a “selective process” and had also been “promoted.”</w:t>
      </w:r>
      <w:r w:rsidRPr="00624C6F">
        <w:rPr>
          <w:rStyle w:val="Refdenotaalpie"/>
          <w:rFonts w:asciiTheme="majorHAnsi" w:hAnsiTheme="majorHAnsi"/>
          <w:sz w:val="20"/>
          <w:szCs w:val="20"/>
          <w:lang w:val="en-US"/>
        </w:rPr>
        <w:footnoteReference w:id="92"/>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In fact, the report on the first year of the Council of the Judiciary and the Judicial Career Service specifies that in September 2013 an internal process was begun to select personnel from several cities in the country.</w:t>
      </w:r>
      <w:r w:rsidRPr="00624C6F">
        <w:rPr>
          <w:rStyle w:val="Refdenotaalpie"/>
          <w:rFonts w:asciiTheme="majorHAnsi" w:hAnsiTheme="majorHAnsi"/>
          <w:sz w:val="20"/>
          <w:szCs w:val="20"/>
          <w:lang w:val="en-US"/>
        </w:rPr>
        <w:footnoteReference w:id="93"/>
      </w:r>
      <w:r w:rsidRPr="00624C6F">
        <w:rPr>
          <w:rFonts w:asciiTheme="majorHAnsi" w:hAnsiTheme="majorHAnsi"/>
          <w:sz w:val="20"/>
          <w:szCs w:val="20"/>
          <w:lang w:val="en-US"/>
        </w:rPr>
        <w:t xml:space="preserve"> The report also indicates that 75 public servants in the judiciary participated and that the performance evaluation part was done by the members of the Council when in a selection process the evaluation should be done by a Selection Tribunal.</w:t>
      </w:r>
      <w:r w:rsidRPr="00624C6F">
        <w:rPr>
          <w:rStyle w:val="Refdenotaalpie"/>
          <w:rFonts w:asciiTheme="majorHAnsi" w:hAnsiTheme="majorHAnsi"/>
          <w:sz w:val="20"/>
          <w:szCs w:val="20"/>
          <w:lang w:val="en-US"/>
        </w:rPr>
        <w:footnoteReference w:id="94"/>
      </w:r>
      <w:r w:rsidRPr="00624C6F">
        <w:rPr>
          <w:rFonts w:asciiTheme="majorHAnsi" w:hAnsiTheme="majorHAnsi"/>
          <w:sz w:val="20"/>
          <w:szCs w:val="20"/>
          <w:lang w:val="en-US"/>
        </w:rPr>
        <w:t xml:space="preserve"> Moreover, a National Jurisdiction Judge on Anti-Tax Evasion was reportedly named without there being any information about a selection process for this post.</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711563">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The Commission notes that while the creation of the Council of the Judiciary represents a positive aspect in the sense of having an autonomous, specialized agency that can take charge of the selection and appointment of judges, the </w:t>
      </w:r>
      <w:r w:rsidRPr="00624C6F">
        <w:rPr>
          <w:rFonts w:asciiTheme="majorHAnsi" w:hAnsiTheme="majorHAnsi"/>
          <w:sz w:val="20"/>
          <w:szCs w:val="20"/>
          <w:lang w:val="en-US"/>
        </w:rPr>
        <w:lastRenderedPageBreak/>
        <w:t>information received raises concerns about whether in practice such procedures may not be carried out with transparency or may not ensure that candidates have access to public service in conditions of equality and based on merit.</w:t>
      </w:r>
      <w:r w:rsidRPr="00624C6F">
        <w:rPr>
          <w:rStyle w:val="Refdenotaalpie"/>
          <w:rFonts w:asciiTheme="majorHAnsi" w:hAnsiTheme="majorHAnsi"/>
          <w:sz w:val="20"/>
          <w:szCs w:val="20"/>
          <w:lang w:val="en-US"/>
        </w:rPr>
        <w:footnoteReference w:id="95"/>
      </w:r>
      <w:r w:rsidRPr="00624C6F">
        <w:rPr>
          <w:rFonts w:asciiTheme="majorHAnsi" w:hAnsiTheme="majorHAnsi"/>
          <w:sz w:val="20"/>
          <w:szCs w:val="20"/>
          <w:lang w:val="en-US"/>
        </w:rPr>
        <w:t xml:space="preserve"> In this regard, the Commission urges the State to ensure that such procedures meet international standards, not only in law but in practice.</w:t>
      </w:r>
      <w:r w:rsidRPr="00624C6F">
        <w:rPr>
          <w:rStyle w:val="Refdenotaalpie"/>
          <w:rFonts w:asciiTheme="majorHAnsi" w:hAnsiTheme="majorHAnsi"/>
          <w:sz w:val="20"/>
          <w:szCs w:val="20"/>
          <w:lang w:val="en-US"/>
        </w:rPr>
        <w:footnoteReference w:id="96"/>
      </w:r>
      <w:r w:rsidRPr="00624C6F">
        <w:rPr>
          <w:rFonts w:asciiTheme="majorHAnsi" w:hAnsiTheme="majorHAnsi"/>
          <w:sz w:val="20"/>
          <w:szCs w:val="20"/>
          <w:lang w:val="en-US"/>
        </w:rPr>
        <w:t xml:space="preserve"> </w:t>
      </w:r>
    </w:p>
    <w:p w:rsidR="001F2B92" w:rsidRPr="00624C6F" w:rsidRDefault="001F2B92" w:rsidP="00711563">
      <w:pPr>
        <w:pStyle w:val="Ttulo4"/>
        <w:rPr>
          <w:lang w:val="en-US"/>
        </w:rPr>
      </w:pPr>
      <w:bookmarkStart w:id="15" w:name="_Toc442694890"/>
      <w:r w:rsidRPr="00624C6F">
        <w:rPr>
          <w:lang w:val="en-US"/>
        </w:rPr>
        <w:t>Process</w:t>
      </w:r>
      <w:r w:rsidR="00BB5ED1" w:rsidRPr="00624C6F">
        <w:rPr>
          <w:lang w:val="en-US"/>
        </w:rPr>
        <w:t xml:space="preserve"> </w:t>
      </w:r>
      <w:r w:rsidRPr="00624C6F">
        <w:rPr>
          <w:lang w:val="en-US"/>
        </w:rPr>
        <w:t xml:space="preserve">of Judicial Purging and the Application </w:t>
      </w:r>
      <w:r w:rsidR="00711563" w:rsidRPr="00624C6F">
        <w:rPr>
          <w:lang w:val="en-US"/>
        </w:rPr>
        <w:br/>
      </w:r>
      <w:r w:rsidRPr="00624C6F">
        <w:rPr>
          <w:lang w:val="en-US"/>
        </w:rPr>
        <w:t>of Trust Tests</w:t>
      </w:r>
      <w:bookmarkEnd w:id="15"/>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Commission received information during the visit indicating that, beginning in November 2013, the Council had undertaken an intense “purging” of the judiciary. Twenty-nine judges were removed, 28 were suspended, and 18 were suspended but have already served their punishment.</w:t>
      </w:r>
      <w:r w:rsidRPr="00624C6F">
        <w:rPr>
          <w:rStyle w:val="Refdenotaalpie"/>
          <w:rFonts w:asciiTheme="majorHAnsi" w:hAnsiTheme="majorHAnsi"/>
          <w:sz w:val="20"/>
          <w:szCs w:val="20"/>
          <w:lang w:val="en-US"/>
        </w:rPr>
        <w:footnoteReference w:id="97"/>
      </w:r>
      <w:r w:rsidRPr="00624C6F">
        <w:rPr>
          <w:rFonts w:asciiTheme="majorHAnsi" w:hAnsiTheme="majorHAnsi"/>
          <w:sz w:val="20"/>
          <w:szCs w:val="20"/>
          <w:lang w:val="en-US"/>
        </w:rPr>
        <w:t xml:space="preserve"> According to the information received, judicial aides had also been suspended and/or dismissed.</w:t>
      </w:r>
      <w:r w:rsidRPr="00624C6F">
        <w:rPr>
          <w:rStyle w:val="Refdenotaalpie"/>
          <w:rFonts w:asciiTheme="majorHAnsi" w:hAnsiTheme="majorHAnsi"/>
          <w:sz w:val="20"/>
          <w:szCs w:val="20"/>
          <w:lang w:val="en-US"/>
        </w:rPr>
        <w:footnoteReference w:id="98"/>
      </w:r>
      <w:r w:rsidRPr="00624C6F">
        <w:rPr>
          <w:rFonts w:asciiTheme="majorHAnsi" w:hAnsiTheme="majorHAnsi"/>
          <w:sz w:val="20"/>
          <w:szCs w:val="20"/>
          <w:lang w:val="en-US"/>
        </w:rPr>
        <w:t xml:space="preserve"> A number of the suspended judges reportedly filed </w:t>
      </w:r>
      <w:r w:rsidRPr="00624C6F">
        <w:rPr>
          <w:rFonts w:asciiTheme="majorHAnsi" w:hAnsiTheme="majorHAnsi"/>
          <w:i/>
          <w:sz w:val="20"/>
          <w:szCs w:val="20"/>
          <w:lang w:val="en-US"/>
        </w:rPr>
        <w:t>amparo</w:t>
      </w:r>
      <w:r w:rsidRPr="00624C6F">
        <w:rPr>
          <w:rFonts w:asciiTheme="majorHAnsi" w:hAnsiTheme="majorHAnsi"/>
          <w:sz w:val="20"/>
          <w:szCs w:val="20"/>
          <w:lang w:val="en-US"/>
        </w:rPr>
        <w:t xml:space="preserve"> actions, and the IACHR was informed about four judgments granting </w:t>
      </w:r>
      <w:r w:rsidRPr="00624C6F">
        <w:rPr>
          <w:rFonts w:asciiTheme="majorHAnsi" w:hAnsiTheme="majorHAnsi"/>
          <w:i/>
          <w:sz w:val="20"/>
          <w:szCs w:val="20"/>
          <w:lang w:val="en-US"/>
        </w:rPr>
        <w:t>amparo</w:t>
      </w:r>
      <w:r w:rsidRPr="00624C6F">
        <w:rPr>
          <w:rFonts w:asciiTheme="majorHAnsi" w:hAnsiTheme="majorHAnsi"/>
          <w:sz w:val="20"/>
          <w:szCs w:val="20"/>
          <w:lang w:val="en-US"/>
        </w:rPr>
        <w:t xml:space="preserve"> relief to the sanctioned judges.</w:t>
      </w:r>
      <w:r w:rsidRPr="00624C6F">
        <w:rPr>
          <w:rStyle w:val="Refdenotaalpie"/>
          <w:rFonts w:asciiTheme="majorHAnsi" w:hAnsiTheme="majorHAnsi"/>
          <w:sz w:val="20"/>
          <w:szCs w:val="20"/>
          <w:lang w:val="en-US"/>
        </w:rPr>
        <w:footnoteReference w:id="99"/>
      </w:r>
      <w:r w:rsidRPr="00624C6F">
        <w:rPr>
          <w:rFonts w:asciiTheme="majorHAnsi" w:hAnsiTheme="majorHAnsi"/>
          <w:sz w:val="20"/>
          <w:szCs w:val="20"/>
          <w:lang w:val="en-US"/>
        </w:rPr>
        <w:t xml:space="preserve"> Some judges expressed concern that some members of the bench who rule on these appeals could fear being subject to disciplinary proceedings. According to information in the news media, in 2014 some 161 judicial officials were suspended in Honduras.</w:t>
      </w:r>
      <w:r w:rsidRPr="00624C6F">
        <w:rPr>
          <w:rStyle w:val="Refdenotaalpie"/>
          <w:rFonts w:asciiTheme="majorHAnsi" w:hAnsiTheme="majorHAnsi"/>
          <w:sz w:val="20"/>
          <w:szCs w:val="20"/>
          <w:lang w:val="en-US"/>
        </w:rPr>
        <w:footnoteReference w:id="100"/>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The IACHR appreciates the State’s initiatives to strengthen and improve the various entities that participate in the administration of justice. However, it takes note of some objections to certain aspects of the methodology.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proofErr w:type="gramStart"/>
      <w:r w:rsidRPr="00624C6F">
        <w:rPr>
          <w:rFonts w:asciiTheme="majorHAnsi" w:hAnsiTheme="majorHAnsi"/>
          <w:sz w:val="20"/>
          <w:szCs w:val="20"/>
          <w:lang w:val="en-US"/>
        </w:rPr>
        <w:t>A number of</w:t>
      </w:r>
      <w:proofErr w:type="gramEnd"/>
      <w:r w:rsidRPr="00624C6F">
        <w:rPr>
          <w:rFonts w:asciiTheme="majorHAnsi" w:hAnsiTheme="majorHAnsi"/>
          <w:sz w:val="20"/>
          <w:szCs w:val="20"/>
          <w:lang w:val="en-US"/>
        </w:rPr>
        <w:t xml:space="preserve"> civil society organizations reported that this purging got underway quickly, with no law in place establishing the grounds for discipline and the penalties to be applied, based solely on a circular issued by the members of the Council themselves.</w:t>
      </w:r>
      <w:r w:rsidRPr="00624C6F">
        <w:rPr>
          <w:rStyle w:val="Refdenotaalpie"/>
          <w:rFonts w:asciiTheme="majorHAnsi" w:hAnsiTheme="majorHAnsi"/>
          <w:sz w:val="20"/>
          <w:szCs w:val="20"/>
          <w:lang w:val="en-US"/>
        </w:rPr>
        <w:footnoteReference w:id="101"/>
      </w:r>
      <w:r w:rsidRPr="00624C6F">
        <w:rPr>
          <w:rFonts w:asciiTheme="majorHAnsi" w:hAnsiTheme="majorHAnsi"/>
          <w:sz w:val="20"/>
          <w:szCs w:val="20"/>
          <w:lang w:val="en-US"/>
        </w:rPr>
        <w:t xml:space="preserve"> This situation produced uncertainty and intimidation among judges. According to civil society, “the independence of judges has been weakened as a result of their fear at being sanctioned by the Council if their rulings turn out to be ‘uncomfortable.’”</w:t>
      </w:r>
      <w:r w:rsidRPr="00624C6F">
        <w:rPr>
          <w:rStyle w:val="Refdenotaalpie"/>
          <w:rFonts w:asciiTheme="majorHAnsi" w:hAnsiTheme="majorHAnsi"/>
          <w:sz w:val="20"/>
          <w:szCs w:val="20"/>
          <w:lang w:val="en-US"/>
        </w:rPr>
        <w:footnoteReference w:id="102"/>
      </w:r>
      <w:r w:rsidRPr="00624C6F">
        <w:rPr>
          <w:rFonts w:asciiTheme="majorHAnsi" w:hAnsiTheme="majorHAnsi"/>
          <w:sz w:val="20"/>
          <w:szCs w:val="20"/>
          <w:lang w:val="en-US"/>
        </w:rPr>
        <w:t xml:space="preserve"> </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Meanwhile, in February 2014 various articles of the Law on the Council of the Judiciary and the Judicial Career Service were amended, modifying and expanding the jurisdiction of the Council of the Judiciary. Among the changes is the authority to have “magistrates of Courts of Appeals, judges, officials, and administrative, judicial, and technical personnel from the judicial branch, generally or selectively take trust tests such as toxicological, psychometric, or psychological tests or polygraphs, studies and investigations of assets, performance evaluation, and compliance with legal terms….”</w:t>
      </w:r>
      <w:r w:rsidRPr="00624C6F">
        <w:rPr>
          <w:rStyle w:val="Refdenotaalpie"/>
          <w:rFonts w:asciiTheme="majorHAnsi" w:hAnsiTheme="majorHAnsi"/>
          <w:sz w:val="20"/>
          <w:szCs w:val="20"/>
          <w:lang w:val="en-US"/>
        </w:rPr>
        <w:footnoteReference w:id="103"/>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The Association of Judges for Democracy (AJD) filed an </w:t>
      </w:r>
      <w:r w:rsidRPr="00624C6F">
        <w:rPr>
          <w:rFonts w:asciiTheme="majorHAnsi" w:hAnsiTheme="majorHAnsi"/>
          <w:i/>
          <w:sz w:val="20"/>
          <w:szCs w:val="20"/>
          <w:lang w:val="en-US"/>
        </w:rPr>
        <w:t>amparo</w:t>
      </w:r>
      <w:r w:rsidRPr="00624C6F">
        <w:rPr>
          <w:rFonts w:asciiTheme="majorHAnsi" w:hAnsiTheme="majorHAnsi"/>
          <w:sz w:val="20"/>
          <w:szCs w:val="20"/>
          <w:lang w:val="en-US"/>
        </w:rPr>
        <w:t xml:space="preserve"> action against the implementation of trust tests such as polygraphs, arguing that these violate justice operators’ right against self-incrimination, the right to psychological and moral integrity, and the right to honor and recognition of dignity.</w:t>
      </w:r>
      <w:r w:rsidRPr="00624C6F">
        <w:rPr>
          <w:rStyle w:val="Refdenotaalpie"/>
          <w:rFonts w:asciiTheme="majorHAnsi" w:hAnsiTheme="majorHAnsi"/>
          <w:sz w:val="20"/>
          <w:szCs w:val="20"/>
          <w:lang w:val="en-US"/>
        </w:rPr>
        <w:footnoteReference w:id="104"/>
      </w:r>
      <w:r w:rsidRPr="00624C6F">
        <w:rPr>
          <w:rFonts w:asciiTheme="majorHAnsi" w:hAnsiTheme="majorHAnsi"/>
          <w:sz w:val="20"/>
          <w:szCs w:val="20"/>
          <w:lang w:val="en-US"/>
        </w:rPr>
        <w:t xml:space="preserve"> The Constitutional Chamber of the Supreme Court, in a judgment of December 9, 2014, denied the appeal, arguing that polygraph tests are taken voluntarily. It also indicated that if someone does not submit voluntarily, such a test is not binding for imposition of sanctions, but it is when taken in conjunction with other tests that must be analyzed.</w:t>
      </w:r>
      <w:r w:rsidRPr="00624C6F">
        <w:rPr>
          <w:rStyle w:val="Refdenotaalpie"/>
          <w:rFonts w:asciiTheme="majorHAnsi" w:hAnsiTheme="majorHAnsi"/>
          <w:sz w:val="20"/>
          <w:szCs w:val="20"/>
          <w:lang w:val="en-US"/>
        </w:rPr>
        <w:footnoteReference w:id="105"/>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Along these lines, the Regulations to the Law on the Council of the Judiciary and Judicial Career Service were published in the </w:t>
      </w:r>
      <w:proofErr w:type="spellStart"/>
      <w:r w:rsidRPr="00624C6F">
        <w:rPr>
          <w:rFonts w:asciiTheme="majorHAnsi" w:hAnsiTheme="majorHAnsi"/>
          <w:sz w:val="20"/>
          <w:szCs w:val="20"/>
          <w:lang w:val="en-US"/>
        </w:rPr>
        <w:t>Gaceta</w:t>
      </w:r>
      <w:proofErr w:type="spellEnd"/>
      <w:r w:rsidRPr="00624C6F">
        <w:rPr>
          <w:rFonts w:asciiTheme="majorHAnsi" w:hAnsiTheme="majorHAnsi"/>
          <w:sz w:val="20"/>
          <w:szCs w:val="20"/>
          <w:lang w:val="en-US"/>
        </w:rPr>
        <w:t xml:space="preserve"> </w:t>
      </w:r>
      <w:proofErr w:type="spellStart"/>
      <w:r w:rsidRPr="00624C6F">
        <w:rPr>
          <w:rFonts w:asciiTheme="majorHAnsi" w:hAnsiTheme="majorHAnsi"/>
          <w:sz w:val="20"/>
          <w:szCs w:val="20"/>
          <w:lang w:val="en-US"/>
        </w:rPr>
        <w:t>Oficial</w:t>
      </w:r>
      <w:proofErr w:type="spellEnd"/>
      <w:r w:rsidRPr="00624C6F">
        <w:rPr>
          <w:rFonts w:asciiTheme="majorHAnsi" w:hAnsiTheme="majorHAnsi"/>
          <w:sz w:val="20"/>
          <w:szCs w:val="20"/>
          <w:lang w:val="en-US"/>
        </w:rPr>
        <w:t xml:space="preserve"> [Official Gazette] on September 17, 2014. The Regulations establish grounds for separation from employment and penalties. Chapter XII regulates the trust tests, which should be administered to all employees and officials of the judicial branch.</w:t>
      </w:r>
      <w:r w:rsidRPr="00624C6F">
        <w:rPr>
          <w:rStyle w:val="Refdenotaalpie"/>
          <w:rFonts w:asciiTheme="majorHAnsi" w:hAnsiTheme="majorHAnsi"/>
          <w:sz w:val="20"/>
          <w:szCs w:val="20"/>
          <w:lang w:val="en-US"/>
        </w:rPr>
        <w:footnoteReference w:id="106"/>
      </w:r>
      <w:r w:rsidRPr="00624C6F">
        <w:rPr>
          <w:rFonts w:asciiTheme="majorHAnsi" w:hAnsiTheme="majorHAnsi"/>
          <w:sz w:val="20"/>
          <w:szCs w:val="20"/>
          <w:lang w:val="en-US"/>
        </w:rPr>
        <w:t xml:space="preserve"> Its Article 81 establishes that in those cases in which officials or employees of the judicial career service do not submit to trust tests having been summoned to do so without just cause, they shall be removed from the judicial career service “with no institutional liability.”</w:t>
      </w:r>
      <w:r w:rsidRPr="00624C6F">
        <w:rPr>
          <w:rStyle w:val="Refdenotaalpie"/>
          <w:rFonts w:asciiTheme="majorHAnsi" w:hAnsiTheme="majorHAnsi"/>
          <w:sz w:val="20"/>
          <w:szCs w:val="20"/>
          <w:lang w:val="en-US"/>
        </w:rPr>
        <w:footnoteReference w:id="107"/>
      </w:r>
      <w:r w:rsidRPr="00624C6F">
        <w:rPr>
          <w:rFonts w:asciiTheme="majorHAnsi" w:hAnsiTheme="majorHAnsi"/>
          <w:sz w:val="20"/>
          <w:szCs w:val="20"/>
          <w:lang w:val="en-US"/>
        </w:rPr>
        <w:t xml:space="preserve"> This, in spite of the fact that the same article establishes that the failure to pass a polygraph and psychometric test shall not, in and of itself, be justified grounds for dismissal, nor for keeping someone out of the judicial career service.</w:t>
      </w:r>
      <w:r w:rsidRPr="00624C6F">
        <w:rPr>
          <w:rStyle w:val="Refdenotaalpie"/>
          <w:rFonts w:asciiTheme="majorHAnsi" w:hAnsiTheme="majorHAnsi"/>
          <w:sz w:val="20"/>
          <w:szCs w:val="20"/>
          <w:lang w:val="en-US"/>
        </w:rPr>
        <w:footnoteReference w:id="108"/>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Even though the Constitutional Chamber of the Supreme Court determined that polygraphs are done on a voluntary basis, according to the provisions of the Regulations to the Law on the Council of the Judiciary and the Judicial Career Service, justice operators are “compelled to submit to this test, regardless of their nonconformity or disagreement with it.”</w:t>
      </w:r>
      <w:r w:rsidRPr="00624C6F">
        <w:rPr>
          <w:rStyle w:val="Refdenotaalpie"/>
          <w:rFonts w:asciiTheme="majorHAnsi" w:hAnsiTheme="majorHAnsi"/>
          <w:sz w:val="20"/>
          <w:szCs w:val="20"/>
          <w:lang w:val="en-US"/>
        </w:rPr>
        <w:footnoteReference w:id="109"/>
      </w:r>
    </w:p>
    <w:p w:rsidR="001F2B92" w:rsidRPr="00624C6F" w:rsidRDefault="001F2B92" w:rsidP="001F2B92">
      <w:pPr>
        <w:pStyle w:val="Prrafodelista"/>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It is of interest to the Commission that the aforementioned Regulations establish that trust tests “shall be done with the assistance” of the following institutions: the Office of the Inspector General of Judicial Agencies; Office of Forensic Medicine of the Public Prosecutor’s Office; the National Bureau of Investigation and Intelligence; the National Commission on Banks and Insurance Companies; the Property Institute; the Superior Court of Accounts, and other agencies that may be required.</w:t>
      </w:r>
      <w:r w:rsidRPr="00624C6F">
        <w:rPr>
          <w:rStyle w:val="Refdenotaalpie"/>
          <w:rFonts w:asciiTheme="majorHAnsi" w:hAnsiTheme="majorHAnsi"/>
          <w:sz w:val="20"/>
          <w:szCs w:val="20"/>
          <w:lang w:val="en-US"/>
        </w:rPr>
        <w:footnoteReference w:id="110"/>
      </w:r>
      <w:r w:rsidRPr="00624C6F">
        <w:rPr>
          <w:rFonts w:asciiTheme="majorHAnsi" w:hAnsiTheme="majorHAnsi"/>
          <w:sz w:val="20"/>
          <w:szCs w:val="20"/>
          <w:lang w:val="en-US"/>
        </w:rPr>
        <w:t xml:space="preserve"> Specifically, it calls the attention of the Commission that institutions external to the organs of justice, including the National Bureau of Investigation and Intelligence – described in this Chapter - should have the authority to administer tests to judicial employees.</w:t>
      </w:r>
      <w:r w:rsidRPr="00624C6F">
        <w:rPr>
          <w:rStyle w:val="Refdenotaalpie"/>
          <w:rFonts w:asciiTheme="majorHAnsi" w:hAnsiTheme="majorHAnsi"/>
          <w:sz w:val="20"/>
          <w:szCs w:val="20"/>
          <w:lang w:val="en-US"/>
        </w:rPr>
        <w:footnoteReference w:id="111"/>
      </w:r>
    </w:p>
    <w:p w:rsidR="001F2B92" w:rsidRPr="00624C6F" w:rsidRDefault="001F2B92" w:rsidP="001F2B92">
      <w:pPr>
        <w:pStyle w:val="Prrafodelista"/>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According to information received from civil society, approximately 96 justice operators, including magistrates and judges, have had to take polygraphs. According to testimony obtained from these individuals, the “mere manner in which these tests are performed is an affront to the dignity of justice operators, as it generates anxiety and stress, and at times, moreover, some of the questions asked of them are particularly invasive, as they have to do with aspects of their private life.”</w:t>
      </w:r>
      <w:r w:rsidRPr="00624C6F">
        <w:rPr>
          <w:rStyle w:val="Refdenotaalpie"/>
          <w:rFonts w:asciiTheme="majorHAnsi" w:hAnsiTheme="majorHAnsi"/>
          <w:sz w:val="20"/>
          <w:szCs w:val="20"/>
          <w:lang w:val="en-US"/>
        </w:rPr>
        <w:footnoteReference w:id="112"/>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impact of the administration of the polygraph as an element of the trust tests is of concern to the Commission. According to some judges’ testimony, sometimes justice operators who must submit to polygraphs are not given the results, and the test becomes a factor of insecurity for judges in case they “do not behave themselves.”</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According to civil society organizations, in light of the regulations an appeal was lodged challenging the application of disciplinary sanctions based on regulations and not on the law itself, in contravention of Article 317 of the Constitution, which establishes that judges and magistrates may not be separated, suspended, </w:t>
      </w:r>
      <w:r w:rsidRPr="00624C6F">
        <w:rPr>
          <w:rFonts w:asciiTheme="majorHAnsi" w:hAnsiTheme="majorHAnsi"/>
          <w:sz w:val="20"/>
          <w:szCs w:val="20"/>
          <w:lang w:val="en-US"/>
        </w:rPr>
        <w:lastRenderedPageBreak/>
        <w:t>transferred, demoted, or retired except for cause and with the guarantees provided for under the Law.</w:t>
      </w:r>
      <w:r w:rsidRPr="00624C6F">
        <w:rPr>
          <w:rStyle w:val="Refdenotaalpie"/>
          <w:rFonts w:asciiTheme="majorHAnsi" w:hAnsiTheme="majorHAnsi"/>
          <w:sz w:val="20"/>
          <w:szCs w:val="20"/>
          <w:lang w:val="en-US"/>
        </w:rPr>
        <w:footnoteReference w:id="113"/>
      </w:r>
      <w:r w:rsidRPr="00624C6F">
        <w:rPr>
          <w:rFonts w:asciiTheme="majorHAnsi" w:hAnsiTheme="majorHAnsi"/>
          <w:sz w:val="20"/>
          <w:szCs w:val="20"/>
          <w:lang w:val="en-US"/>
        </w:rPr>
        <w:t xml:space="preserve"> As of the date this report was approved, this appeal was said to be pending.</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Meanwhile, the Commission received information regarding other possible ways the work of justice operators comes under pressure. During the visit, </w:t>
      </w:r>
      <w:proofErr w:type="gramStart"/>
      <w:r w:rsidRPr="00624C6F">
        <w:rPr>
          <w:rFonts w:asciiTheme="majorHAnsi" w:hAnsiTheme="majorHAnsi"/>
          <w:sz w:val="20"/>
          <w:szCs w:val="20"/>
          <w:lang w:val="en-US"/>
        </w:rPr>
        <w:t>a number of</w:t>
      </w:r>
      <w:proofErr w:type="gramEnd"/>
      <w:r w:rsidRPr="00624C6F">
        <w:rPr>
          <w:rFonts w:asciiTheme="majorHAnsi" w:hAnsiTheme="majorHAnsi"/>
          <w:sz w:val="20"/>
          <w:szCs w:val="20"/>
          <w:lang w:val="en-US"/>
        </w:rPr>
        <w:t xml:space="preserve"> justice operators reported that prosecutors had used the criminal charge of “prevarication” to intimidate judges for issuing decisions against their interests. In fact, under Decree 56-2013,</w:t>
      </w:r>
      <w:r w:rsidRPr="00624C6F">
        <w:rPr>
          <w:rStyle w:val="Refdenotaalpie"/>
          <w:rFonts w:asciiTheme="majorHAnsi" w:hAnsiTheme="majorHAnsi"/>
          <w:sz w:val="20"/>
          <w:szCs w:val="20"/>
          <w:lang w:val="en-US"/>
        </w:rPr>
        <w:footnoteReference w:id="114"/>
      </w:r>
      <w:r w:rsidRPr="00624C6F">
        <w:rPr>
          <w:rFonts w:asciiTheme="majorHAnsi" w:hAnsiTheme="majorHAnsi"/>
          <w:sz w:val="20"/>
          <w:szCs w:val="20"/>
          <w:lang w:val="en-US"/>
        </w:rPr>
        <w:t xml:space="preserve"> the Code of Criminal Procedure was amended to establish mandatory pretrial detention as an assurance measure for a catalog of 21 crimes, among them the crime of “prevarication.” This means that the deprivation of liberty of someone accused of committing one of these crimes will depend solely on the classification of the crime made by the prosecutor’s office. The Commission notes with concern that several judges expressed their fear of being the target of this type of criminal prosecution.</w:t>
      </w:r>
      <w:r w:rsidRPr="00624C6F">
        <w:rPr>
          <w:rStyle w:val="Refdenotaalpie"/>
          <w:rFonts w:asciiTheme="majorHAnsi" w:hAnsiTheme="majorHAnsi"/>
          <w:sz w:val="20"/>
          <w:szCs w:val="20"/>
          <w:lang w:val="en-US"/>
        </w:rPr>
        <w:footnoteReference w:id="115"/>
      </w:r>
      <w:r w:rsidR="00BB5ED1" w:rsidRPr="00624C6F">
        <w:rPr>
          <w:rFonts w:asciiTheme="majorHAnsi" w:hAnsiTheme="majorHAnsi"/>
          <w:sz w:val="20"/>
          <w:szCs w:val="20"/>
          <w:lang w:val="en-US"/>
        </w:rPr>
        <w:t xml:space="preserve"> </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During the visit, the Commission also heard concerns regarding threats made to frame judges through sham disciplinary proceedings, </w:t>
      </w:r>
      <w:proofErr w:type="gramStart"/>
      <w:r w:rsidRPr="00624C6F">
        <w:rPr>
          <w:rFonts w:asciiTheme="majorHAnsi" w:hAnsiTheme="majorHAnsi"/>
          <w:sz w:val="20"/>
          <w:szCs w:val="20"/>
          <w:lang w:val="en-US"/>
        </w:rPr>
        <w:t>for the purpose of</w:t>
      </w:r>
      <w:proofErr w:type="gramEnd"/>
      <w:r w:rsidRPr="00624C6F">
        <w:rPr>
          <w:rFonts w:asciiTheme="majorHAnsi" w:hAnsiTheme="majorHAnsi"/>
          <w:sz w:val="20"/>
          <w:szCs w:val="20"/>
          <w:lang w:val="en-US"/>
        </w:rPr>
        <w:t xml:space="preserve"> frightening them and manipulating their decisions. As an example of this, a trial attorney in San Pedro Sula said that when he told a judge that he was going to present a psychiatric expert to seek changes to the pretrial detention regime being requested by the Public Prosecutor’s Office, the judge answered, “Let me be clear. As a criminal court judge, if I dismiss the case against that girl, I’ll be fired the next day.”</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 </w:t>
      </w:r>
      <w:proofErr w:type="gramStart"/>
      <w:r w:rsidRPr="00624C6F">
        <w:rPr>
          <w:rFonts w:asciiTheme="majorHAnsi" w:hAnsiTheme="majorHAnsi"/>
          <w:sz w:val="20"/>
          <w:szCs w:val="20"/>
          <w:lang w:val="en-US"/>
        </w:rPr>
        <w:t>In light of</w:t>
      </w:r>
      <w:proofErr w:type="gramEnd"/>
      <w:r w:rsidRPr="00624C6F">
        <w:rPr>
          <w:rFonts w:asciiTheme="majorHAnsi" w:hAnsiTheme="majorHAnsi"/>
          <w:sz w:val="20"/>
          <w:szCs w:val="20"/>
          <w:lang w:val="en-US"/>
        </w:rPr>
        <w:t xml:space="preserve"> these findings, the Commission observes with concern that justice operators are apparently still being separated from their posts without observance of the due process guarantees that States are called on to observe in proceedings to impose punishment. In fact, the Commission notes that through the purging process, justice operators reportedly find themselves the target of reprisals or intimidation </w:t>
      </w:r>
      <w:proofErr w:type="gramStart"/>
      <w:r w:rsidRPr="00624C6F">
        <w:rPr>
          <w:rFonts w:asciiTheme="majorHAnsi" w:hAnsiTheme="majorHAnsi"/>
          <w:sz w:val="20"/>
          <w:szCs w:val="20"/>
          <w:lang w:val="en-US"/>
        </w:rPr>
        <w:t>as a result of</w:t>
      </w:r>
      <w:proofErr w:type="gramEnd"/>
      <w:r w:rsidRPr="00624C6F">
        <w:rPr>
          <w:rFonts w:asciiTheme="majorHAnsi" w:hAnsiTheme="majorHAnsi"/>
          <w:sz w:val="20"/>
          <w:szCs w:val="20"/>
          <w:lang w:val="en-US"/>
        </w:rPr>
        <w:t xml:space="preserve"> the decisions they make in the cases before them.</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The Commission reiterates that justice operators have “reinforced guarantees” of tenure </w:t>
      </w:r>
      <w:proofErr w:type="gramStart"/>
      <w:r w:rsidRPr="00624C6F">
        <w:rPr>
          <w:rFonts w:asciiTheme="majorHAnsi" w:hAnsiTheme="majorHAnsi"/>
          <w:sz w:val="20"/>
          <w:szCs w:val="20"/>
          <w:lang w:val="en-US"/>
        </w:rPr>
        <w:t>so as to</w:t>
      </w:r>
      <w:proofErr w:type="gramEnd"/>
      <w:r w:rsidRPr="00624C6F">
        <w:rPr>
          <w:rFonts w:asciiTheme="majorHAnsi" w:hAnsiTheme="majorHAnsi"/>
          <w:sz w:val="20"/>
          <w:szCs w:val="20"/>
          <w:lang w:val="en-US"/>
        </w:rPr>
        <w:t xml:space="preserve"> ensure that they are able to act independently. These guarantees mean that justice operators should not be subject to removal </w:t>
      </w:r>
      <w:proofErr w:type="gramStart"/>
      <w:r w:rsidRPr="00624C6F">
        <w:rPr>
          <w:rFonts w:asciiTheme="majorHAnsi" w:hAnsiTheme="majorHAnsi"/>
          <w:sz w:val="20"/>
          <w:szCs w:val="20"/>
          <w:lang w:val="en-US"/>
        </w:rPr>
        <w:t>as a result of</w:t>
      </w:r>
      <w:proofErr w:type="gramEnd"/>
      <w:r w:rsidRPr="00624C6F">
        <w:rPr>
          <w:rFonts w:asciiTheme="majorHAnsi" w:hAnsiTheme="majorHAnsi"/>
          <w:sz w:val="20"/>
          <w:szCs w:val="20"/>
          <w:lang w:val="en-US"/>
        </w:rPr>
        <w:t xml:space="preserve"> lawful decisions they make in the course of their work. The State must ensure adherence to the law in procedures meant to sanction </w:t>
      </w:r>
      <w:proofErr w:type="gramStart"/>
      <w:r w:rsidRPr="00624C6F">
        <w:rPr>
          <w:rFonts w:asciiTheme="majorHAnsi" w:hAnsiTheme="majorHAnsi"/>
          <w:sz w:val="20"/>
          <w:szCs w:val="20"/>
          <w:lang w:val="en-US"/>
        </w:rPr>
        <w:t>them, but</w:t>
      </w:r>
      <w:proofErr w:type="gramEnd"/>
      <w:r w:rsidRPr="00624C6F">
        <w:rPr>
          <w:rFonts w:asciiTheme="majorHAnsi" w:hAnsiTheme="majorHAnsi"/>
          <w:sz w:val="20"/>
          <w:szCs w:val="20"/>
          <w:lang w:val="en-US"/>
        </w:rPr>
        <w:t xml:space="preserve"> must also ensure that justice operators can be penalized only after a procedure in which the guarantees of due process are provided and they have had recourse against any possible violations of their rights.</w:t>
      </w:r>
    </w:p>
    <w:p w:rsidR="001F2B92" w:rsidRPr="00624C6F" w:rsidRDefault="001F2B92" w:rsidP="001F2B92">
      <w:pPr>
        <w:pStyle w:val="Prrafodelista"/>
        <w:ind w:left="547" w:hanging="547"/>
        <w:rPr>
          <w:rFonts w:asciiTheme="majorHAnsi" w:hAnsiTheme="majorHAnsi"/>
          <w:sz w:val="20"/>
          <w:szCs w:val="20"/>
          <w:lang w:val="en-US"/>
        </w:rPr>
      </w:pPr>
    </w:p>
    <w:p w:rsidR="001F2B92" w:rsidRPr="00624C6F" w:rsidRDefault="001F2B92" w:rsidP="00711563">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The Commission urges the State to ensure that “purges” and the application of the criminal charge of “prevarication” are not used as an instrument of reprisal against justice operators for acting independently. It also calls to mind that, in accordance </w:t>
      </w:r>
      <w:r w:rsidRPr="00624C6F">
        <w:rPr>
          <w:rFonts w:asciiTheme="majorHAnsi" w:hAnsiTheme="majorHAnsi"/>
          <w:sz w:val="20"/>
          <w:szCs w:val="20"/>
          <w:lang w:val="en-US"/>
        </w:rPr>
        <w:lastRenderedPageBreak/>
        <w:t>with international law, the grounds for any sanctions imposed on justice operators “should never be the legal judgment developed in a decision.”</w:t>
      </w:r>
      <w:r w:rsidRPr="00624C6F">
        <w:rPr>
          <w:rStyle w:val="Refdenotaalpie"/>
          <w:rFonts w:asciiTheme="majorHAnsi" w:hAnsiTheme="majorHAnsi"/>
          <w:sz w:val="20"/>
          <w:szCs w:val="20"/>
          <w:lang w:val="en-US"/>
        </w:rPr>
        <w:footnoteReference w:id="116"/>
      </w:r>
      <w:r w:rsidRPr="00624C6F">
        <w:rPr>
          <w:rFonts w:asciiTheme="majorHAnsi" w:hAnsiTheme="majorHAnsi"/>
          <w:sz w:val="20"/>
          <w:szCs w:val="20"/>
          <w:lang w:val="en-US"/>
        </w:rPr>
        <w:t xml:space="preserve"> </w:t>
      </w:r>
    </w:p>
    <w:p w:rsidR="001F2B92" w:rsidRPr="00624C6F" w:rsidRDefault="001F2B92" w:rsidP="00711563">
      <w:pPr>
        <w:pStyle w:val="Ttulo2"/>
        <w:rPr>
          <w:lang w:val="en-US"/>
        </w:rPr>
      </w:pPr>
      <w:bookmarkStart w:id="16" w:name="_Toc442694891"/>
      <w:r w:rsidRPr="00624C6F">
        <w:rPr>
          <w:lang w:val="en-US"/>
        </w:rPr>
        <w:t>Public Prosecutor’s Office</w:t>
      </w:r>
      <w:bookmarkEnd w:id="16"/>
    </w:p>
    <w:p w:rsidR="001F2B92" w:rsidRPr="00624C6F" w:rsidRDefault="001F2B92" w:rsidP="001F2B92">
      <w:pPr>
        <w:numPr>
          <w:ilvl w:val="0"/>
          <w:numId w:val="7"/>
        </w:numPr>
        <w:ind w:left="547" w:hanging="547"/>
        <w:jc w:val="both"/>
        <w:rPr>
          <w:rFonts w:ascii="Cambria" w:hAnsi="Cambria" w:cs="Tahoma"/>
          <w:sz w:val="20"/>
          <w:szCs w:val="20"/>
          <w:lang w:val="en-US"/>
        </w:rPr>
      </w:pPr>
      <w:proofErr w:type="gramStart"/>
      <w:r w:rsidRPr="00624C6F">
        <w:rPr>
          <w:rFonts w:asciiTheme="majorHAnsi" w:hAnsiTheme="majorHAnsi"/>
          <w:sz w:val="20"/>
          <w:szCs w:val="20"/>
          <w:lang w:val="en-US"/>
        </w:rPr>
        <w:t>With regard to</w:t>
      </w:r>
      <w:proofErr w:type="gramEnd"/>
      <w:r w:rsidRPr="00624C6F">
        <w:rPr>
          <w:rFonts w:asciiTheme="majorHAnsi" w:hAnsiTheme="majorHAnsi"/>
          <w:sz w:val="20"/>
          <w:szCs w:val="20"/>
          <w:lang w:val="en-US"/>
        </w:rPr>
        <w:t xml:space="preserve"> the Public Prosecutor’s Office, the IACHR received information regarding the recent reform of the Law on the Public Prosecutor’s Office, which gives the Attorney General’s Office the authority to rotate prosecutors without their having the right to file an appeal challenging these decisions.</w:t>
      </w:r>
      <w:r w:rsidRPr="00624C6F">
        <w:rPr>
          <w:rStyle w:val="Refdenotaalpie"/>
          <w:rFonts w:asciiTheme="majorHAnsi" w:hAnsiTheme="majorHAnsi"/>
          <w:sz w:val="20"/>
          <w:szCs w:val="20"/>
          <w:lang w:val="en-US"/>
        </w:rPr>
        <w:footnoteReference w:id="117"/>
      </w:r>
      <w:r w:rsidRPr="00624C6F">
        <w:rPr>
          <w:rFonts w:asciiTheme="majorHAnsi" w:hAnsiTheme="majorHAnsi"/>
          <w:sz w:val="20"/>
          <w:szCs w:val="20"/>
          <w:lang w:val="en-US"/>
        </w:rPr>
        <w:t xml:space="preserve"> As a result, rotations are reportedly being used as a means to intimidate prosecutors. These reforms also establish expressly that prosecutors may not give public statements concerning cases they are handling. On this point, despite the principle of secrecy of investigations that already exists in the Criminal Procedure Code, for some justice operators the Commission interviewed, this legislative change sends a message of intimidation in the work done by prosecutors, who now do not know </w:t>
      </w:r>
      <w:proofErr w:type="gramStart"/>
      <w:r w:rsidRPr="00624C6F">
        <w:rPr>
          <w:rFonts w:asciiTheme="majorHAnsi" w:hAnsiTheme="majorHAnsi"/>
          <w:sz w:val="20"/>
          <w:szCs w:val="20"/>
          <w:lang w:val="en-US"/>
        </w:rPr>
        <w:t>whether or not</w:t>
      </w:r>
      <w:proofErr w:type="gramEnd"/>
      <w:r w:rsidRPr="00624C6F">
        <w:rPr>
          <w:rFonts w:asciiTheme="majorHAnsi" w:hAnsiTheme="majorHAnsi"/>
          <w:sz w:val="20"/>
          <w:szCs w:val="20"/>
          <w:lang w:val="en-US"/>
        </w:rPr>
        <w:t xml:space="preserve"> they should publicly denounce human rights violations—including those directed against them—for fear of being penalized and losing their jobs. </w:t>
      </w:r>
      <w:r w:rsidRPr="00624C6F">
        <w:rPr>
          <w:rFonts w:ascii="Cambria" w:hAnsi="Cambria" w:cs="Tahoma"/>
          <w:sz w:val="20"/>
          <w:szCs w:val="20"/>
          <w:lang w:val="en-US"/>
        </w:rPr>
        <w:t xml:space="preserve">The IACHR recognizes that, in principle, these objectives aim to combat impunity. However, according to the information it has received, some of these reforms would seem to go beyond the desired objective, and while they may well constitute legitimate aims, they could also be applied arbitrarily.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Moreover, during the visit the Commission was informed that on April 17, 2013, an Intervening Commission was named because of existing complaints of alleged illegal enrichment by some prosecutors. As of December 2014, these complaints had not led to an assertion of responsibility. The State indicated that the Office of the Special Prosecutor for Prosecution of Officials and Civil Servants of the Public Prosecutor’s Office has tried 12 cases against prosecutorial officials who have been implicated in irregular activities.</w:t>
      </w:r>
      <w:r w:rsidRPr="00624C6F">
        <w:rPr>
          <w:rStyle w:val="Refdenotaalpie"/>
          <w:rFonts w:asciiTheme="majorHAnsi" w:hAnsiTheme="majorHAnsi"/>
          <w:sz w:val="20"/>
          <w:szCs w:val="20"/>
          <w:lang w:val="en-US"/>
        </w:rPr>
        <w:footnoteReference w:id="118"/>
      </w:r>
      <w:r w:rsidRPr="00624C6F">
        <w:rPr>
          <w:rFonts w:asciiTheme="majorHAnsi" w:hAnsiTheme="majorHAnsi"/>
          <w:sz w:val="20"/>
          <w:szCs w:val="20"/>
          <w:lang w:val="en-US"/>
        </w:rPr>
        <w:t xml:space="preserve"> According to information received by some justice operators, the establishment of the Intervening Commission has resulted in prosecutors being placed and removed without due process and those with a specialization not being assigned to the appropriate Special Prosecutor’s Office. In addition, competitions </w:t>
      </w:r>
      <w:r w:rsidRPr="00624C6F">
        <w:rPr>
          <w:rFonts w:asciiTheme="majorHAnsi" w:hAnsiTheme="majorHAnsi"/>
          <w:sz w:val="20"/>
          <w:szCs w:val="20"/>
          <w:lang w:val="en-US"/>
        </w:rPr>
        <w:lastRenderedPageBreak/>
        <w:t>are reportedly not being held for promotions, in contravention of the prosecutorial career service and the Law on the Public Prosecutor’s Office. It is important to note that justice operators from the Public Prosecutor’s Office have also had to submit to trust tests.</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IACHR calls to mind that given the essential role the Public Prosecutor’s Office plays in moving criminal investigations forward, the independence, impartiality, and suitability of its officials must be guaranteed to ensure that their work is effective and to help eliminate the factors of impunity in cases involving human rights violations.</w:t>
      </w:r>
      <w:r w:rsidRPr="00624C6F">
        <w:rPr>
          <w:rStyle w:val="Refdenotaalpie"/>
          <w:rFonts w:asciiTheme="majorHAnsi" w:hAnsiTheme="majorHAnsi"/>
          <w:sz w:val="20"/>
          <w:szCs w:val="20"/>
          <w:lang w:val="en-US"/>
        </w:rPr>
        <w:footnoteReference w:id="119"/>
      </w:r>
      <w:r w:rsidRPr="00624C6F">
        <w:rPr>
          <w:rFonts w:asciiTheme="majorHAnsi" w:hAnsiTheme="majorHAnsi"/>
          <w:sz w:val="20"/>
          <w:szCs w:val="20"/>
          <w:lang w:val="en-US"/>
        </w:rPr>
        <w:t xml:space="preserve"> International law has underscored how important it is that investigations and, on a broader level, any activities associated with the prosecution of crime, be independent and impartial so that crime victims are assured access to justice. The Inter-American Court has emphasized that investigations into human rights violations must be immediate and thorough, but they must be independent and impartial as well. The United Nations Special Rapporteur has stressed how important it is that prosecutors are able to conduct their own functions independently, autonomously, and impartially.</w:t>
      </w:r>
      <w:r w:rsidRPr="00624C6F">
        <w:rPr>
          <w:rStyle w:val="Refdenotaalpie"/>
          <w:rFonts w:asciiTheme="majorHAnsi" w:hAnsiTheme="majorHAnsi"/>
          <w:sz w:val="20"/>
          <w:szCs w:val="20"/>
          <w:lang w:val="en-US"/>
        </w:rPr>
        <w:footnoteReference w:id="120"/>
      </w:r>
      <w:r w:rsidRPr="00624C6F">
        <w:rPr>
          <w:rFonts w:asciiTheme="majorHAnsi" w:hAnsiTheme="majorHAnsi"/>
          <w:sz w:val="20"/>
          <w:szCs w:val="20"/>
          <w:lang w:val="en-US"/>
        </w:rPr>
        <w:t xml:space="preserve"> The IACHR emphasizes that the lack of institutional autonomy can erode the credibility of the prosecutorial authority and undermine public confidence in the justice system.</w:t>
      </w:r>
      <w:r w:rsidRPr="00624C6F">
        <w:rPr>
          <w:rStyle w:val="Refdenotaalpie"/>
          <w:rFonts w:asciiTheme="majorHAnsi" w:hAnsiTheme="majorHAnsi"/>
          <w:sz w:val="20"/>
          <w:szCs w:val="20"/>
          <w:lang w:val="en-US"/>
        </w:rPr>
        <w:footnoteReference w:id="121"/>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In this regard, the Commission cautions with great concern that the appointment of prosecutors by the Intervening Commission without clear and transparent parameters may mean that those selected are not suitable or do not have the necessary capacity to carry out their work independently. Moreover, the lack of due process for the removal of prosecutors by the Intervening Commission may not only violate the rights of the civil servants </w:t>
      </w:r>
      <w:proofErr w:type="gramStart"/>
      <w:r w:rsidRPr="00624C6F">
        <w:rPr>
          <w:rFonts w:asciiTheme="majorHAnsi" w:hAnsiTheme="majorHAnsi"/>
          <w:sz w:val="20"/>
          <w:szCs w:val="20"/>
          <w:lang w:val="en-US"/>
        </w:rPr>
        <w:t>involved, but</w:t>
      </w:r>
      <w:proofErr w:type="gramEnd"/>
      <w:r w:rsidRPr="00624C6F">
        <w:rPr>
          <w:rFonts w:asciiTheme="majorHAnsi" w:hAnsiTheme="majorHAnsi"/>
          <w:sz w:val="20"/>
          <w:szCs w:val="20"/>
          <w:lang w:val="en-US"/>
        </w:rPr>
        <w:t xml:space="preserve"> may also lead to a situation in which they are unable to defend themselves against that body’s decisions. This lack of job security jeopardizes prosecutors’ independence </w:t>
      </w:r>
      <w:proofErr w:type="gramStart"/>
      <w:r w:rsidRPr="00624C6F">
        <w:rPr>
          <w:rFonts w:asciiTheme="majorHAnsi" w:hAnsiTheme="majorHAnsi"/>
          <w:sz w:val="20"/>
          <w:szCs w:val="20"/>
          <w:lang w:val="en-US"/>
        </w:rPr>
        <w:t>as a result of</w:t>
      </w:r>
      <w:proofErr w:type="gramEnd"/>
      <w:r w:rsidRPr="00624C6F">
        <w:rPr>
          <w:rFonts w:asciiTheme="majorHAnsi" w:hAnsiTheme="majorHAnsi"/>
          <w:sz w:val="20"/>
          <w:szCs w:val="20"/>
          <w:lang w:val="en-US"/>
        </w:rPr>
        <w:t xml:space="preserve"> their fear of being removed from their positions in reprisal for their actions. In this regard, the IACHR urges the State to guarantee that prosecutors are selected and appointed based on applicable standards of international law</w:t>
      </w:r>
      <w:r w:rsidRPr="00624C6F">
        <w:rPr>
          <w:rStyle w:val="Refdenotaalpie"/>
          <w:rFonts w:asciiTheme="majorHAnsi" w:hAnsiTheme="majorHAnsi"/>
          <w:sz w:val="20"/>
          <w:szCs w:val="20"/>
          <w:lang w:val="en-US"/>
        </w:rPr>
        <w:footnoteReference w:id="122"/>
      </w:r>
      <w:r w:rsidRPr="00624C6F">
        <w:rPr>
          <w:rFonts w:asciiTheme="majorHAnsi" w:hAnsiTheme="majorHAnsi"/>
          <w:sz w:val="20"/>
          <w:szCs w:val="20"/>
          <w:lang w:val="en-US"/>
        </w:rPr>
        <w:t xml:space="preserve"> and that they are not targeted for separation from their jobs without a process that offers them due process guarantees and the opportunity to have recourse for protecting their rights in the case of violations that could be committed against them in such procedures. Along these lines, the IACHR urges the State to revise the reforms to the Law on the Public Prosecutor’s Office in accordance with applicable international human rights standards, </w:t>
      </w:r>
      <w:proofErr w:type="gramStart"/>
      <w:r w:rsidRPr="00624C6F">
        <w:rPr>
          <w:rFonts w:asciiTheme="majorHAnsi" w:hAnsiTheme="majorHAnsi"/>
          <w:sz w:val="20"/>
          <w:szCs w:val="20"/>
          <w:lang w:val="en-US"/>
        </w:rPr>
        <w:t>in particular with</w:t>
      </w:r>
      <w:proofErr w:type="gramEnd"/>
      <w:r w:rsidRPr="00624C6F">
        <w:rPr>
          <w:rFonts w:asciiTheme="majorHAnsi" w:hAnsiTheme="majorHAnsi"/>
          <w:sz w:val="20"/>
          <w:szCs w:val="20"/>
          <w:lang w:val="en-US"/>
        </w:rPr>
        <w:t xml:space="preserve"> respect to the independence, impartiality, and </w:t>
      </w:r>
      <w:r w:rsidRPr="00624C6F">
        <w:rPr>
          <w:rFonts w:asciiTheme="majorHAnsi" w:hAnsiTheme="majorHAnsi"/>
          <w:sz w:val="20"/>
          <w:szCs w:val="20"/>
          <w:lang w:val="en-US"/>
        </w:rPr>
        <w:lastRenderedPageBreak/>
        <w:t>suitability of the work of prosecutors and with respect to the right to a fair trial and to judicial protection.</w:t>
      </w:r>
    </w:p>
    <w:p w:rsidR="001F2B92" w:rsidRDefault="001F2B92" w:rsidP="001F2B92">
      <w:pPr>
        <w:ind w:left="547" w:hanging="547"/>
        <w:jc w:val="both"/>
        <w:rPr>
          <w:rFonts w:asciiTheme="majorHAnsi" w:hAnsiTheme="majorHAnsi"/>
          <w:sz w:val="20"/>
          <w:szCs w:val="20"/>
          <w:lang w:val="en-US"/>
        </w:rPr>
      </w:pPr>
    </w:p>
    <w:p w:rsidR="005D04F5" w:rsidRPr="00624C6F" w:rsidRDefault="005D04F5" w:rsidP="001F2B92">
      <w:pPr>
        <w:ind w:left="547" w:hanging="547"/>
        <w:jc w:val="both"/>
        <w:rPr>
          <w:rFonts w:asciiTheme="majorHAnsi" w:hAnsiTheme="majorHAnsi"/>
          <w:sz w:val="20"/>
          <w:szCs w:val="20"/>
          <w:lang w:val="en-US"/>
        </w:rPr>
      </w:pPr>
      <w:r>
        <w:rPr>
          <w:rFonts w:asciiTheme="majorHAnsi" w:hAnsiTheme="majorHAnsi"/>
          <w:sz w:val="20"/>
          <w:szCs w:val="20"/>
          <w:lang w:val="en-US"/>
        </w:rPr>
        <w:t>[…]</w:t>
      </w:r>
    </w:p>
    <w:sectPr w:rsidR="005D04F5" w:rsidRPr="00624C6F" w:rsidSect="005D04F5">
      <w:headerReference w:type="default" r:id="rId32"/>
      <w:footerReference w:type="even" r:id="rId33"/>
      <w:footerReference w:type="default" r:id="rId34"/>
      <w:type w:val="oddPage"/>
      <w:pgSz w:w="10080" w:h="14400" w:code="1"/>
      <w:pgMar w:top="1152" w:right="1152" w:bottom="1152"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889" w:rsidRDefault="002E2889">
      <w:r>
        <w:separator/>
      </w:r>
    </w:p>
  </w:endnote>
  <w:endnote w:type="continuationSeparator" w:id="0">
    <w:p w:rsidR="002E2889" w:rsidRDefault="002E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Default="0086515C">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Pr="000666B4" w:rsidRDefault="0086515C" w:rsidP="000666B4">
    <w:pPr>
      <w:pStyle w:val="Piedepgin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Pr="00AE33B9" w:rsidRDefault="0086515C" w:rsidP="00202CB5">
    <w:pPr>
      <w:pStyle w:val="Piedepgina"/>
      <w:spacing w:before="420"/>
      <w:rPr>
        <w:rFonts w:ascii="Calibri" w:hAnsi="Calibri"/>
        <w:color w:val="4A442A" w:themeColor="background2" w:themeShade="40"/>
        <w:sz w:val="14"/>
        <w:szCs w:val="14"/>
        <w:lang w:val="en-US"/>
      </w:rPr>
    </w:pPr>
    <w:r>
      <w:rPr>
        <w:rFonts w:ascii="Calibri" w:hAnsi="Calibri"/>
        <w:color w:val="4A442A" w:themeColor="background2" w:themeShade="40"/>
        <w:sz w:val="14"/>
        <w:szCs w:val="14"/>
        <w:lang w:val="en-US"/>
      </w:rPr>
      <w:t>Organization of American States</w:t>
    </w:r>
    <w:r w:rsidRPr="00AE33B9">
      <w:rPr>
        <w:rFonts w:ascii="Calibri" w:hAnsi="Calibri"/>
        <w:color w:val="4A442A" w:themeColor="background2" w:themeShade="40"/>
        <w:sz w:val="14"/>
        <w:szCs w:val="14"/>
        <w:lang w:val="en-US"/>
      </w:rPr>
      <w:t xml:space="preserve"> | </w:t>
    </w:r>
    <w:r>
      <w:rPr>
        <w:rFonts w:ascii="Calibri" w:hAnsi="Calibri"/>
        <w:b/>
        <w:color w:val="4A442A" w:themeColor="background2" w:themeShade="40"/>
        <w:sz w:val="14"/>
        <w:szCs w:val="14"/>
        <w:lang w:val="en-US"/>
      </w:rPr>
      <w:t>OAS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Pr="00AE33B9" w:rsidRDefault="0086515C" w:rsidP="00202CB5">
    <w:pPr>
      <w:pStyle w:val="Piedepgina"/>
      <w:spacing w:before="420"/>
      <w:jc w:val="right"/>
      <w:rPr>
        <w:rFonts w:ascii="Calibri" w:hAnsi="Calibri"/>
        <w:color w:val="4A442A" w:themeColor="background2" w:themeShade="40"/>
        <w:sz w:val="14"/>
        <w:szCs w:val="14"/>
        <w:lang w:val="en-US"/>
      </w:rPr>
    </w:pPr>
    <w:r w:rsidRPr="00AE33B9">
      <w:rPr>
        <w:rFonts w:ascii="Calibri" w:hAnsi="Calibri"/>
        <w:color w:val="4A442A" w:themeColor="background2" w:themeShade="40"/>
        <w:sz w:val="14"/>
        <w:szCs w:val="14"/>
        <w:lang w:val="en-US"/>
      </w:rPr>
      <w:t xml:space="preserve">Inter-American Commission on Human Rights | </w:t>
    </w:r>
    <w:r w:rsidRPr="00AE33B9">
      <w:rPr>
        <w:rFonts w:ascii="Calibri" w:hAnsi="Calibri"/>
        <w:b/>
        <w:color w:val="4A442A" w:themeColor="background2" w:themeShade="40"/>
        <w:sz w:val="14"/>
        <w:szCs w:val="14"/>
        <w:lang w:val="en-US"/>
      </w:rPr>
      <w:t>IACHR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Default="008651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Default="0086515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Pr="006B3828" w:rsidRDefault="0086515C" w:rsidP="006B382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Pr="00202CB5" w:rsidRDefault="0086515C" w:rsidP="00202CB5">
    <w:pPr>
      <w:pStyle w:val="Piedepgina"/>
      <w:spacing w:before="420"/>
    </w:pPr>
    <w:r>
      <w:rPr>
        <w:rFonts w:ascii="Calibri" w:hAnsi="Calibri"/>
        <w:color w:val="4A442A" w:themeColor="background2" w:themeShade="40"/>
        <w:sz w:val="14"/>
        <w:szCs w:val="14"/>
        <w:lang w:val="en-US"/>
      </w:rPr>
      <w:t>Organization of American States</w:t>
    </w:r>
    <w:r w:rsidRPr="00AE33B9">
      <w:rPr>
        <w:rFonts w:ascii="Calibri" w:hAnsi="Calibri"/>
        <w:color w:val="4A442A" w:themeColor="background2" w:themeShade="40"/>
        <w:sz w:val="14"/>
        <w:szCs w:val="14"/>
        <w:lang w:val="en-US"/>
      </w:rPr>
      <w:t xml:space="preserve"> | </w:t>
    </w:r>
    <w:r>
      <w:rPr>
        <w:rFonts w:ascii="Calibri" w:hAnsi="Calibri"/>
        <w:b/>
        <w:color w:val="4A442A" w:themeColor="background2" w:themeShade="40"/>
        <w:sz w:val="14"/>
        <w:szCs w:val="14"/>
        <w:lang w:val="en-US"/>
      </w:rPr>
      <w:t>OAS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Pr="00600220" w:rsidRDefault="0086515C" w:rsidP="00DC704F">
    <w:pPr>
      <w:pStyle w:val="Piedepgina"/>
      <w:spacing w:before="420"/>
      <w:jc w:val="right"/>
      <w:rPr>
        <w:rFonts w:ascii="Calibri" w:hAnsi="Calibri"/>
        <w:color w:val="4A442A" w:themeColor="background2" w:themeShade="40"/>
        <w:sz w:val="14"/>
        <w:szCs w:val="14"/>
        <w:lang w:val="en-US"/>
      </w:rPr>
    </w:pPr>
    <w:r w:rsidRPr="00600220">
      <w:rPr>
        <w:rFonts w:ascii="Calibri" w:hAnsi="Calibri"/>
        <w:color w:val="4A442A" w:themeColor="background2" w:themeShade="40"/>
        <w:sz w:val="14"/>
        <w:szCs w:val="14"/>
        <w:lang w:val="en-US"/>
      </w:rPr>
      <w:t xml:space="preserve">Inter-American Commission on Human Rights | </w:t>
    </w:r>
    <w:r w:rsidRPr="00600220">
      <w:rPr>
        <w:rFonts w:ascii="Calibri" w:hAnsi="Calibri"/>
        <w:b/>
        <w:color w:val="4A442A" w:themeColor="background2" w:themeShade="40"/>
        <w:sz w:val="14"/>
        <w:szCs w:val="14"/>
        <w:lang w:val="en-US"/>
      </w:rPr>
      <w:t>IACHR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Pr="002C5809" w:rsidRDefault="0086515C" w:rsidP="002C5809">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Pr="00202CB5" w:rsidRDefault="0086515C" w:rsidP="00202CB5">
    <w:pPr>
      <w:pStyle w:val="Piedepgina"/>
      <w:spacing w:before="420"/>
    </w:pPr>
    <w:r>
      <w:rPr>
        <w:rFonts w:ascii="Calibri" w:hAnsi="Calibri"/>
        <w:color w:val="4A442A" w:themeColor="background2" w:themeShade="40"/>
        <w:sz w:val="14"/>
        <w:szCs w:val="14"/>
        <w:lang w:val="en-US"/>
      </w:rPr>
      <w:t>Organization of American States</w:t>
    </w:r>
    <w:r w:rsidRPr="00AE33B9">
      <w:rPr>
        <w:rFonts w:ascii="Calibri" w:hAnsi="Calibri"/>
        <w:color w:val="4A442A" w:themeColor="background2" w:themeShade="40"/>
        <w:sz w:val="14"/>
        <w:szCs w:val="14"/>
        <w:lang w:val="en-US"/>
      </w:rPr>
      <w:t xml:space="preserve"> | </w:t>
    </w:r>
    <w:r>
      <w:rPr>
        <w:rFonts w:ascii="Calibri" w:hAnsi="Calibri"/>
        <w:b/>
        <w:color w:val="4A442A" w:themeColor="background2" w:themeShade="40"/>
        <w:sz w:val="14"/>
        <w:szCs w:val="14"/>
        <w:lang w:val="en-US"/>
      </w:rPr>
      <w:t>OAS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Pr="00600220" w:rsidRDefault="0086515C" w:rsidP="00C938E3">
    <w:pPr>
      <w:pStyle w:val="Piedepgina"/>
      <w:spacing w:before="420"/>
      <w:jc w:val="right"/>
      <w:rPr>
        <w:rFonts w:ascii="Calibri" w:hAnsi="Calibri"/>
        <w:color w:val="4A442A" w:themeColor="background2" w:themeShade="40"/>
        <w:sz w:val="14"/>
        <w:szCs w:val="14"/>
        <w:lang w:val="en-US"/>
      </w:rPr>
    </w:pPr>
    <w:r w:rsidRPr="00600220">
      <w:rPr>
        <w:rFonts w:ascii="Calibri" w:hAnsi="Calibri"/>
        <w:color w:val="4A442A" w:themeColor="background2" w:themeShade="40"/>
        <w:sz w:val="14"/>
        <w:szCs w:val="14"/>
        <w:lang w:val="en-US"/>
      </w:rPr>
      <w:t xml:space="preserve">Inter-American Commission on Human Rights | </w:t>
    </w:r>
    <w:r w:rsidRPr="00600220">
      <w:rPr>
        <w:rFonts w:ascii="Calibri" w:hAnsi="Calibri"/>
        <w:b/>
        <w:color w:val="4A442A" w:themeColor="background2" w:themeShade="40"/>
        <w:sz w:val="14"/>
        <w:szCs w:val="14"/>
        <w:lang w:val="en-US"/>
      </w:rPr>
      <w:t>IACHR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889" w:rsidRPr="00B63B41" w:rsidRDefault="002E2889" w:rsidP="00B63B41">
      <w:pPr>
        <w:rPr>
          <w:rFonts w:ascii="Calibri" w:hAnsi="Calibri"/>
          <w:color w:val="808080"/>
          <w:sz w:val="16"/>
          <w:szCs w:val="16"/>
        </w:rPr>
      </w:pPr>
      <w:r w:rsidRPr="00B63B41">
        <w:rPr>
          <w:rFonts w:ascii="Calibri" w:hAnsi="Calibri"/>
          <w:color w:val="808080"/>
          <w:sz w:val="16"/>
          <w:szCs w:val="16"/>
        </w:rPr>
        <w:continuationSeparator/>
      </w:r>
    </w:p>
    <w:p w:rsidR="002E2889" w:rsidRPr="00B63B41" w:rsidRDefault="002E2889" w:rsidP="00B63B41">
      <w:pPr>
        <w:pStyle w:val="Piedepgina"/>
        <w:rPr>
          <w:sz w:val="16"/>
          <w:szCs w:val="16"/>
        </w:rPr>
      </w:pPr>
    </w:p>
  </w:footnote>
  <w:footnote w:type="continuationSeparator" w:id="0">
    <w:p w:rsidR="002E2889" w:rsidRPr="00EB1FC4" w:rsidRDefault="002E2889">
      <w:pPr>
        <w:rPr>
          <w:rFonts w:ascii="Calibri" w:hAnsi="Calibri"/>
          <w:color w:val="808080"/>
          <w:sz w:val="16"/>
          <w:szCs w:val="16"/>
        </w:rPr>
      </w:pPr>
      <w:r w:rsidRPr="00EB1FC4">
        <w:rPr>
          <w:rFonts w:ascii="Calibri" w:hAnsi="Calibri"/>
          <w:color w:val="808080"/>
          <w:sz w:val="16"/>
          <w:szCs w:val="16"/>
        </w:rPr>
        <w:continuationSeparator/>
      </w:r>
    </w:p>
  </w:footnote>
  <w:footnote w:id="1">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Communication from the State of Honduras, Note No. SG/064/MHOEA/2015, </w:t>
      </w:r>
      <w:r w:rsidRPr="006513C9">
        <w:rPr>
          <w:rFonts w:asciiTheme="minorHAnsi" w:hAnsiTheme="minorHAnsi"/>
          <w:color w:val="404040" w:themeColor="text1" w:themeTint="BF"/>
          <w:sz w:val="16"/>
          <w:szCs w:val="16"/>
          <w:lang w:val="en-US"/>
        </w:rPr>
        <w:t>Observations of the State of Honduras to the 2015 Draft Report on Honduras of the Inter-American Commission on Human Rights</w:t>
      </w:r>
      <w:r w:rsidRPr="004F1A7B">
        <w:rPr>
          <w:rFonts w:asciiTheme="minorHAnsi" w:hAnsiTheme="minorHAnsi"/>
          <w:color w:val="404040" w:themeColor="text1" w:themeTint="BF"/>
          <w:sz w:val="16"/>
          <w:szCs w:val="16"/>
          <w:lang w:val="en-US"/>
        </w:rPr>
        <w:t xml:space="preserve">, December 14, 2015. </w:t>
      </w:r>
      <w:r>
        <w:rPr>
          <w:rFonts w:asciiTheme="minorHAnsi" w:hAnsiTheme="minorHAnsi"/>
          <w:color w:val="404040" w:themeColor="text1" w:themeTint="BF"/>
          <w:sz w:val="16"/>
          <w:szCs w:val="16"/>
          <w:lang w:val="en-US"/>
        </w:rPr>
        <w:t xml:space="preserve">Available at: </w:t>
      </w:r>
      <w:hyperlink r:id="rId1" w:tgtFrame="_blank" w:history="1">
        <w:r w:rsidRPr="006513C9">
          <w:rPr>
            <w:rStyle w:val="Hipervnculo"/>
            <w:rFonts w:ascii="Calibri" w:hAnsi="Calibri"/>
            <w:color w:val="404040" w:themeColor="text1" w:themeTint="BF"/>
            <w:sz w:val="16"/>
            <w:szCs w:val="16"/>
            <w:u w:color="A6A6A6" w:themeColor="background1" w:themeShade="A6"/>
            <w:shd w:val="clear" w:color="auto" w:fill="FFFFFF"/>
            <w:lang w:val="en-US"/>
          </w:rPr>
          <w:t>http://www.oas.org/es/cidh/docs/anual/2015/doc-es/HO-Observaciones2015.pdf</w:t>
        </w:r>
      </w:hyperlink>
    </w:p>
  </w:footnote>
  <w:footnote w:id="2">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UNODC. Global Study on Homicide 2013, Trends, Contexts, Data. Available at: </w:t>
      </w:r>
      <w:hyperlink r:id="rId2" w:history="1">
        <w:r w:rsidRPr="004F1A7B">
          <w:rPr>
            <w:rStyle w:val="Hipervnculo"/>
            <w:rFonts w:asciiTheme="minorHAnsi" w:hAnsiTheme="minorHAnsi"/>
            <w:color w:val="404040" w:themeColor="text1" w:themeTint="BF"/>
            <w:sz w:val="16"/>
            <w:szCs w:val="16"/>
            <w:u w:color="A6A6A6" w:themeColor="background1" w:themeShade="A6"/>
            <w:lang w:val="en-US"/>
          </w:rPr>
          <w:t>http://www.unodc.org/–documents/data-and-analysis/statistics/GSH2013/2014_GLOBAL_HOMICIDE_BOOK_web.pdf</w:t>
        </w:r>
      </w:hyperlink>
      <w:r w:rsidRPr="004F1A7B">
        <w:rPr>
          <w:rFonts w:asciiTheme="minorHAnsi" w:hAnsiTheme="minorHAnsi"/>
          <w:color w:val="404040" w:themeColor="text1" w:themeTint="BF"/>
          <w:sz w:val="16"/>
          <w:szCs w:val="16"/>
          <w:lang w:val="en-US"/>
        </w:rPr>
        <w:t>.</w:t>
      </w:r>
    </w:p>
  </w:footnote>
  <w:footnote w:id="3">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SV"/>
        </w:rPr>
        <w:t xml:space="preserve"> </w:t>
      </w:r>
      <w:r w:rsidRPr="004F1A7B">
        <w:rPr>
          <w:rFonts w:asciiTheme="minorHAnsi" w:hAnsiTheme="minorHAnsi"/>
          <w:color w:val="404040" w:themeColor="text1" w:themeTint="BF"/>
          <w:sz w:val="16"/>
          <w:szCs w:val="16"/>
          <w:lang w:val="es-SV"/>
        </w:rPr>
        <w:tab/>
      </w:r>
      <w:r w:rsidRPr="004F1A7B">
        <w:rPr>
          <w:rFonts w:asciiTheme="minorHAnsi" w:hAnsiTheme="minorHAnsi"/>
          <w:color w:val="404040" w:themeColor="text1" w:themeTint="BF"/>
          <w:sz w:val="16"/>
          <w:szCs w:val="16"/>
          <w:lang w:val="es-ES"/>
        </w:rPr>
        <w:t xml:space="preserve">UNAH. </w:t>
      </w:r>
      <w:r w:rsidRPr="004F1A7B">
        <w:rPr>
          <w:rFonts w:asciiTheme="minorHAnsi" w:hAnsiTheme="minorHAnsi"/>
          <w:i/>
          <w:color w:val="404040" w:themeColor="text1" w:themeTint="BF"/>
          <w:sz w:val="16"/>
          <w:szCs w:val="16"/>
          <w:lang w:val="es-ES"/>
        </w:rPr>
        <w:t>Honduras no registró tasa de homicidios de 90.4 por cada 100,000 habitantes en 2012</w:t>
      </w:r>
      <w:r w:rsidRPr="004F1A7B">
        <w:rPr>
          <w:rFonts w:asciiTheme="minorHAnsi" w:hAnsiTheme="minorHAnsi"/>
          <w:color w:val="404040" w:themeColor="text1" w:themeTint="BF"/>
          <w:sz w:val="16"/>
          <w:szCs w:val="16"/>
          <w:lang w:val="es-ES"/>
        </w:rPr>
        <w:t xml:space="preserve">, April 22, 2014. </w:t>
      </w:r>
      <w:r w:rsidRPr="004F1A7B">
        <w:rPr>
          <w:rFonts w:asciiTheme="minorHAnsi" w:hAnsiTheme="minorHAnsi"/>
          <w:color w:val="404040" w:themeColor="text1" w:themeTint="BF"/>
          <w:sz w:val="16"/>
          <w:szCs w:val="16"/>
          <w:lang w:val="en-US"/>
        </w:rPr>
        <w:t xml:space="preserve">Available at: </w:t>
      </w:r>
      <w:hyperlink r:id="rId3" w:history="1">
        <w:r w:rsidRPr="004F1A7B">
          <w:rPr>
            <w:rStyle w:val="Hipervnculo"/>
            <w:rFonts w:asciiTheme="minorHAnsi" w:hAnsiTheme="minorHAnsi"/>
            <w:color w:val="404040" w:themeColor="text1" w:themeTint="BF"/>
            <w:sz w:val="16"/>
            <w:szCs w:val="16"/>
            <w:u w:color="A6A6A6" w:themeColor="background1" w:themeShade="A6"/>
            <w:lang w:val="en-US"/>
          </w:rPr>
          <w:t>https://presencia.unah.edu.hn/seguridad/articulo/honduras-no-registro-tasa-de-homicidios-de-90-4-por-cada-100-000-habitantes-en-2012</w:t>
        </w:r>
      </w:hyperlink>
      <w:r w:rsidRPr="004F1A7B">
        <w:rPr>
          <w:rStyle w:val="Hipervnculo"/>
          <w:rFonts w:asciiTheme="minorHAnsi" w:hAnsiTheme="minorHAnsi"/>
          <w:color w:val="404040" w:themeColor="text1" w:themeTint="BF"/>
          <w:sz w:val="16"/>
          <w:szCs w:val="16"/>
          <w:u w:val="none"/>
          <w:lang w:val="en-US"/>
        </w:rPr>
        <w:t>.</w:t>
      </w:r>
    </w:p>
  </w:footnote>
  <w:footnote w:id="4">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SV"/>
        </w:rPr>
        <w:t xml:space="preserve"> </w:t>
      </w:r>
      <w:r w:rsidRPr="004F1A7B">
        <w:rPr>
          <w:rFonts w:asciiTheme="minorHAnsi" w:hAnsiTheme="minorHAnsi"/>
          <w:color w:val="404040" w:themeColor="text1" w:themeTint="BF"/>
          <w:sz w:val="16"/>
          <w:szCs w:val="16"/>
          <w:lang w:val="es-SV"/>
        </w:rPr>
        <w:tab/>
      </w:r>
      <w:r w:rsidRPr="004F1A7B">
        <w:rPr>
          <w:rFonts w:asciiTheme="minorHAnsi" w:hAnsiTheme="minorHAnsi"/>
          <w:i/>
          <w:color w:val="404040" w:themeColor="text1" w:themeTint="BF"/>
          <w:sz w:val="16"/>
          <w:szCs w:val="16"/>
          <w:lang w:val="es-SV"/>
        </w:rPr>
        <w:t>Observatorio de la Violencia</w:t>
      </w:r>
      <w:r w:rsidRPr="004F1A7B">
        <w:rPr>
          <w:rFonts w:asciiTheme="minorHAnsi" w:hAnsiTheme="minorHAnsi"/>
          <w:color w:val="404040" w:themeColor="text1" w:themeTint="BF"/>
          <w:sz w:val="16"/>
          <w:szCs w:val="16"/>
          <w:lang w:val="es-SV"/>
        </w:rPr>
        <w:t>, Boletín Enero-</w:t>
      </w:r>
      <w:proofErr w:type="gramStart"/>
      <w:r w:rsidRPr="004F1A7B">
        <w:rPr>
          <w:rFonts w:asciiTheme="minorHAnsi" w:hAnsiTheme="minorHAnsi"/>
          <w:color w:val="404040" w:themeColor="text1" w:themeTint="BF"/>
          <w:sz w:val="16"/>
          <w:szCs w:val="16"/>
          <w:lang w:val="es-SV"/>
        </w:rPr>
        <w:t>Diciembre</w:t>
      </w:r>
      <w:proofErr w:type="gramEnd"/>
      <w:r w:rsidRPr="004F1A7B">
        <w:rPr>
          <w:rFonts w:asciiTheme="minorHAnsi" w:hAnsiTheme="minorHAnsi"/>
          <w:color w:val="404040" w:themeColor="text1" w:themeTint="BF"/>
          <w:sz w:val="16"/>
          <w:szCs w:val="16"/>
          <w:lang w:val="es-SV"/>
        </w:rPr>
        <w:t xml:space="preserve"> 2013, 32nd Ed., </w:t>
      </w:r>
      <w:proofErr w:type="spellStart"/>
      <w:r w:rsidRPr="004F1A7B">
        <w:rPr>
          <w:rFonts w:asciiTheme="minorHAnsi" w:hAnsiTheme="minorHAnsi"/>
          <w:color w:val="404040" w:themeColor="text1" w:themeTint="BF"/>
          <w:sz w:val="16"/>
          <w:szCs w:val="16"/>
          <w:lang w:val="es-SV"/>
        </w:rPr>
        <w:t>February</w:t>
      </w:r>
      <w:proofErr w:type="spellEnd"/>
      <w:r w:rsidRPr="004F1A7B">
        <w:rPr>
          <w:rFonts w:asciiTheme="minorHAnsi" w:hAnsiTheme="minorHAnsi"/>
          <w:color w:val="404040" w:themeColor="text1" w:themeTint="BF"/>
          <w:sz w:val="16"/>
          <w:szCs w:val="16"/>
          <w:lang w:val="es-SV"/>
        </w:rPr>
        <w:t xml:space="preserve"> 2014. </w:t>
      </w:r>
      <w:r w:rsidRPr="004F1A7B">
        <w:rPr>
          <w:rFonts w:asciiTheme="minorHAnsi" w:hAnsiTheme="minorHAnsi"/>
          <w:color w:val="404040" w:themeColor="text1" w:themeTint="BF"/>
          <w:sz w:val="16"/>
          <w:szCs w:val="16"/>
          <w:lang w:val="en-US"/>
        </w:rPr>
        <w:t xml:space="preserve">Available at: </w:t>
      </w:r>
      <w:hyperlink r:id="rId4" w:history="1">
        <w:r w:rsidRPr="004F1A7B">
          <w:rPr>
            <w:rStyle w:val="Hipervnculo"/>
            <w:rFonts w:asciiTheme="minorHAnsi" w:hAnsiTheme="minorHAnsi"/>
            <w:color w:val="404040" w:themeColor="text1" w:themeTint="BF"/>
            <w:sz w:val="16"/>
            <w:szCs w:val="16"/>
            <w:u w:color="A6A6A6" w:themeColor="background1" w:themeShade="A6"/>
            <w:lang w:val="en-US"/>
          </w:rPr>
          <w:t>http://iudpas.org/pdf/Boletines/Nacional/NEd32EneDic2013.pdf</w:t>
        </w:r>
      </w:hyperlink>
      <w:r w:rsidRPr="004F1A7B">
        <w:rPr>
          <w:rFonts w:asciiTheme="minorHAnsi" w:hAnsiTheme="minorHAnsi"/>
          <w:color w:val="404040" w:themeColor="text1" w:themeTint="BF"/>
          <w:sz w:val="16"/>
          <w:szCs w:val="16"/>
          <w:lang w:val="en-US"/>
        </w:rPr>
        <w:t xml:space="preserve"> .</w:t>
      </w:r>
    </w:p>
  </w:footnote>
  <w:footnote w:id="5">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Government of Honduras. Information provided by the State of Honduras to the IACHR during its on-site visit held December 1-5, 2014, Document SSDH-093-2015 of March 24, 2015. </w:t>
      </w:r>
      <w:proofErr w:type="spellStart"/>
      <w:r w:rsidRPr="004F1A7B">
        <w:rPr>
          <w:rFonts w:asciiTheme="minorHAnsi" w:hAnsiTheme="minorHAnsi"/>
          <w:color w:val="404040" w:themeColor="text1" w:themeTint="BF"/>
          <w:sz w:val="16"/>
          <w:szCs w:val="16"/>
          <w:lang w:val="es-SV"/>
        </w:rPr>
        <w:t>See</w:t>
      </w:r>
      <w:proofErr w:type="spellEnd"/>
      <w:r w:rsidRPr="004F1A7B">
        <w:rPr>
          <w:rFonts w:asciiTheme="minorHAnsi" w:hAnsiTheme="minorHAnsi"/>
          <w:color w:val="404040" w:themeColor="text1" w:themeTint="BF"/>
          <w:sz w:val="16"/>
          <w:szCs w:val="16"/>
          <w:lang w:val="es-SV"/>
        </w:rPr>
        <w:t xml:space="preserve"> </w:t>
      </w:r>
      <w:proofErr w:type="spellStart"/>
      <w:r w:rsidRPr="004F1A7B">
        <w:rPr>
          <w:rFonts w:asciiTheme="minorHAnsi" w:hAnsiTheme="minorHAnsi"/>
          <w:color w:val="404040" w:themeColor="text1" w:themeTint="BF"/>
          <w:sz w:val="16"/>
          <w:szCs w:val="16"/>
          <w:lang w:val="es-SV"/>
        </w:rPr>
        <w:t>also</w:t>
      </w:r>
      <w:proofErr w:type="spellEnd"/>
      <w:r w:rsidRPr="004F1A7B">
        <w:rPr>
          <w:rFonts w:asciiTheme="minorHAnsi" w:hAnsiTheme="minorHAnsi"/>
          <w:color w:val="404040" w:themeColor="text1" w:themeTint="BF"/>
          <w:sz w:val="16"/>
          <w:szCs w:val="16"/>
          <w:lang w:val="es-SV"/>
        </w:rPr>
        <w:t>: Observatorio de la Violencia, Boletín Enero-</w:t>
      </w:r>
      <w:proofErr w:type="gramStart"/>
      <w:r w:rsidRPr="004F1A7B">
        <w:rPr>
          <w:rFonts w:asciiTheme="minorHAnsi" w:hAnsiTheme="minorHAnsi"/>
          <w:color w:val="404040" w:themeColor="text1" w:themeTint="BF"/>
          <w:sz w:val="16"/>
          <w:szCs w:val="16"/>
          <w:lang w:val="es-SV"/>
        </w:rPr>
        <w:t>Diciembre</w:t>
      </w:r>
      <w:proofErr w:type="gramEnd"/>
      <w:r w:rsidRPr="004F1A7B">
        <w:rPr>
          <w:rFonts w:asciiTheme="minorHAnsi" w:hAnsiTheme="minorHAnsi"/>
          <w:color w:val="404040" w:themeColor="text1" w:themeTint="BF"/>
          <w:sz w:val="16"/>
          <w:szCs w:val="16"/>
          <w:lang w:val="es-SV"/>
        </w:rPr>
        <w:t xml:space="preserve"> 2011, 24th Ed., March 2012. </w:t>
      </w:r>
      <w:r w:rsidRPr="004F1A7B">
        <w:rPr>
          <w:rFonts w:asciiTheme="minorHAnsi" w:hAnsiTheme="minorHAnsi"/>
          <w:color w:val="404040" w:themeColor="text1" w:themeTint="BF"/>
          <w:sz w:val="16"/>
          <w:szCs w:val="16"/>
          <w:lang w:val="en-US"/>
        </w:rPr>
        <w:t xml:space="preserve">Available at: </w:t>
      </w:r>
      <w:hyperlink r:id="rId5" w:history="1">
        <w:r w:rsidRPr="004F1A7B">
          <w:rPr>
            <w:rStyle w:val="Hipervnculo"/>
            <w:rFonts w:asciiTheme="minorHAnsi" w:hAnsiTheme="minorHAnsi"/>
            <w:color w:val="404040" w:themeColor="text1" w:themeTint="BF"/>
            <w:sz w:val="16"/>
            <w:szCs w:val="16"/>
            <w:u w:color="A6A6A6" w:themeColor="background1" w:themeShade="A6"/>
            <w:lang w:val="en-US"/>
          </w:rPr>
          <w:t>http://iudpas.org/–pdf/Boletines/Nacional/NEd24EneDic2011.pdf</w:t>
        </w:r>
      </w:hyperlink>
      <w:r w:rsidRPr="004F1A7B">
        <w:rPr>
          <w:rFonts w:asciiTheme="minorHAnsi" w:hAnsiTheme="minorHAnsi"/>
          <w:color w:val="404040" w:themeColor="text1" w:themeTint="BF"/>
          <w:sz w:val="16"/>
          <w:szCs w:val="16"/>
          <w:lang w:val="en-US"/>
        </w:rPr>
        <w:t>.</w:t>
      </w:r>
    </w:p>
  </w:footnote>
  <w:footnote w:id="6">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The State, in its response to the draft of this report, indicated that CONADEH has recommended taking comprehensive measures to ensure citizen security for Hondurans, with the aim of preventing the high rate of homicides. Specifically, it indicated that CONADEH has recommended the implementation of urgent measures to attack the structural causes of violence and impunity, as well as to protect the population in view of this situation. Communication from the State of Honduras, Note No. SG/064/MHOEA/2015, </w:t>
      </w:r>
      <w:hyperlink r:id="rId6" w:history="1">
        <w:r w:rsidRPr="00F7104F">
          <w:rPr>
            <w:rStyle w:val="Hipervnculo"/>
            <w:rFonts w:asciiTheme="minorHAnsi" w:hAnsiTheme="minorHAnsi"/>
            <w:color w:val="404040" w:themeColor="text1" w:themeTint="BF"/>
            <w:sz w:val="16"/>
            <w:szCs w:val="16"/>
            <w:lang w:val="en-US"/>
          </w:rPr>
          <w:t>Observations of the State of Honduras to the 2015 Draft Report on Honduras of the Inter-American Commission on Human Rights</w:t>
        </w:r>
      </w:hyperlink>
      <w:r w:rsidRPr="004F1A7B">
        <w:rPr>
          <w:rFonts w:asciiTheme="minorHAnsi" w:hAnsiTheme="minorHAnsi"/>
          <w:color w:val="404040" w:themeColor="text1" w:themeTint="BF"/>
          <w:sz w:val="16"/>
          <w:szCs w:val="16"/>
          <w:lang w:val="en-US"/>
        </w:rPr>
        <w:t>, December 14, 2015.</w:t>
      </w:r>
    </w:p>
  </w:footnote>
  <w:footnote w:id="7">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5D04F5">
        <w:rPr>
          <w:rFonts w:asciiTheme="minorHAnsi" w:hAnsiTheme="minorHAnsi"/>
          <w:color w:val="404040" w:themeColor="text1" w:themeTint="BF"/>
          <w:sz w:val="16"/>
          <w:szCs w:val="16"/>
          <w:lang w:val="es-419"/>
        </w:rPr>
        <w:t xml:space="preserve"> </w:t>
      </w:r>
      <w:r w:rsidRPr="005D04F5">
        <w:rPr>
          <w:rFonts w:asciiTheme="minorHAnsi" w:hAnsiTheme="minorHAnsi"/>
          <w:color w:val="404040" w:themeColor="text1" w:themeTint="BF"/>
          <w:sz w:val="16"/>
          <w:szCs w:val="16"/>
          <w:lang w:val="es-419"/>
        </w:rPr>
        <w:tab/>
      </w:r>
      <w:proofErr w:type="spellStart"/>
      <w:r w:rsidRPr="005D04F5">
        <w:rPr>
          <w:rFonts w:asciiTheme="minorHAnsi" w:hAnsiTheme="minorHAnsi"/>
          <w:color w:val="404040" w:themeColor="text1" w:themeTint="BF"/>
          <w:sz w:val="16"/>
          <w:szCs w:val="16"/>
          <w:lang w:val="es-419"/>
        </w:rPr>
        <w:t>Secretariat</w:t>
      </w:r>
      <w:proofErr w:type="spellEnd"/>
      <w:r w:rsidRPr="005D04F5">
        <w:rPr>
          <w:rFonts w:asciiTheme="minorHAnsi" w:hAnsiTheme="minorHAnsi"/>
          <w:color w:val="404040" w:themeColor="text1" w:themeTint="BF"/>
          <w:sz w:val="16"/>
          <w:szCs w:val="16"/>
          <w:lang w:val="es-419"/>
        </w:rPr>
        <w:t xml:space="preserve"> </w:t>
      </w:r>
      <w:proofErr w:type="spellStart"/>
      <w:r w:rsidRPr="005D04F5">
        <w:rPr>
          <w:rFonts w:asciiTheme="minorHAnsi" w:hAnsiTheme="minorHAnsi"/>
          <w:color w:val="404040" w:themeColor="text1" w:themeTint="BF"/>
          <w:sz w:val="16"/>
          <w:szCs w:val="16"/>
          <w:lang w:val="es-419"/>
        </w:rPr>
        <w:t>of</w:t>
      </w:r>
      <w:proofErr w:type="spellEnd"/>
      <w:r w:rsidRPr="005D04F5">
        <w:rPr>
          <w:rFonts w:asciiTheme="minorHAnsi" w:hAnsiTheme="minorHAnsi"/>
          <w:color w:val="404040" w:themeColor="text1" w:themeTint="BF"/>
          <w:sz w:val="16"/>
          <w:szCs w:val="16"/>
          <w:lang w:val="es-419"/>
        </w:rPr>
        <w:t xml:space="preserve"> Security </w:t>
      </w:r>
      <w:proofErr w:type="spellStart"/>
      <w:r w:rsidRPr="005D04F5">
        <w:rPr>
          <w:rFonts w:asciiTheme="minorHAnsi" w:hAnsiTheme="minorHAnsi"/>
          <w:color w:val="404040" w:themeColor="text1" w:themeTint="BF"/>
          <w:sz w:val="16"/>
          <w:szCs w:val="16"/>
          <w:lang w:val="es-419"/>
        </w:rPr>
        <w:t>of</w:t>
      </w:r>
      <w:proofErr w:type="spellEnd"/>
      <w:r w:rsidRPr="005D04F5">
        <w:rPr>
          <w:rFonts w:asciiTheme="minorHAnsi" w:hAnsiTheme="minorHAnsi"/>
          <w:color w:val="404040" w:themeColor="text1" w:themeTint="BF"/>
          <w:sz w:val="16"/>
          <w:szCs w:val="16"/>
          <w:lang w:val="es-419"/>
        </w:rPr>
        <w:t xml:space="preserve"> Honduras, </w:t>
      </w:r>
      <w:r w:rsidRPr="005D04F5">
        <w:rPr>
          <w:rFonts w:asciiTheme="minorHAnsi" w:hAnsiTheme="minorHAnsi"/>
          <w:i/>
          <w:color w:val="404040" w:themeColor="text1" w:themeTint="BF"/>
          <w:sz w:val="16"/>
          <w:szCs w:val="16"/>
          <w:lang w:val="es-419"/>
        </w:rPr>
        <w:t>Sistema Estadístico Policial en Línea: Histórico Acumulado de Homicidios (Mensual).</w:t>
      </w:r>
      <w:r w:rsidRPr="005D04F5">
        <w:rPr>
          <w:rFonts w:asciiTheme="minorHAnsi" w:hAnsiTheme="minorHAnsi"/>
          <w:color w:val="404040" w:themeColor="text1" w:themeTint="BF"/>
          <w:sz w:val="16"/>
          <w:szCs w:val="16"/>
          <w:lang w:val="es-419"/>
        </w:rPr>
        <w:t xml:space="preserve"> </w:t>
      </w:r>
      <w:r w:rsidRPr="004F1A7B">
        <w:rPr>
          <w:rFonts w:asciiTheme="minorHAnsi" w:hAnsiTheme="minorHAnsi"/>
          <w:color w:val="404040" w:themeColor="text1" w:themeTint="BF"/>
          <w:sz w:val="16"/>
          <w:szCs w:val="16"/>
          <w:lang w:val="en-US"/>
        </w:rPr>
        <w:t xml:space="preserve">Available at: </w:t>
      </w:r>
      <w:hyperlink r:id="rId7" w:history="1">
        <w:r w:rsidRPr="004F1A7B">
          <w:rPr>
            <w:rStyle w:val="Hipervnculo"/>
            <w:rFonts w:asciiTheme="minorHAnsi" w:hAnsiTheme="minorHAnsi"/>
            <w:color w:val="404040" w:themeColor="text1" w:themeTint="BF"/>
            <w:sz w:val="16"/>
            <w:szCs w:val="16"/>
            <w:u w:color="A6A6A6" w:themeColor="background1" w:themeShade="A6"/>
            <w:lang w:val="en-US"/>
          </w:rPr>
          <w:t>https://www.sepol.hn/sepol-estadisticas-honduras.php?id=136</w:t>
        </w:r>
      </w:hyperlink>
      <w:r w:rsidRPr="004F1A7B">
        <w:rPr>
          <w:rStyle w:val="Hipervnculo"/>
          <w:rFonts w:asciiTheme="minorHAnsi" w:hAnsiTheme="minorHAnsi"/>
          <w:color w:val="404040" w:themeColor="text1" w:themeTint="BF"/>
          <w:sz w:val="16"/>
          <w:szCs w:val="16"/>
          <w:u w:color="A6A6A6" w:themeColor="background1" w:themeShade="A6"/>
          <w:lang w:val="en-US"/>
        </w:rPr>
        <w:t>.</w:t>
      </w:r>
      <w:r w:rsidRPr="004F1A7B">
        <w:rPr>
          <w:rFonts w:asciiTheme="minorHAnsi" w:hAnsiTheme="minorHAnsi"/>
          <w:color w:val="404040" w:themeColor="text1" w:themeTint="BF"/>
          <w:sz w:val="16"/>
          <w:szCs w:val="16"/>
          <w:lang w:val="en-US"/>
        </w:rPr>
        <w:t xml:space="preserve"> </w:t>
      </w:r>
    </w:p>
  </w:footnote>
  <w:footnote w:id="8">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5D04F5">
        <w:rPr>
          <w:rFonts w:asciiTheme="minorHAnsi" w:hAnsiTheme="minorHAnsi"/>
          <w:color w:val="404040" w:themeColor="text1" w:themeTint="BF"/>
          <w:sz w:val="16"/>
          <w:szCs w:val="16"/>
          <w:lang w:val="es-419"/>
        </w:rPr>
        <w:t xml:space="preserve"> </w:t>
      </w:r>
      <w:r w:rsidRPr="005D04F5">
        <w:rPr>
          <w:rFonts w:asciiTheme="minorHAnsi" w:hAnsiTheme="minorHAnsi"/>
          <w:color w:val="404040" w:themeColor="text1" w:themeTint="BF"/>
          <w:sz w:val="16"/>
          <w:szCs w:val="16"/>
          <w:lang w:val="es-419"/>
        </w:rPr>
        <w:tab/>
      </w:r>
      <w:proofErr w:type="spellStart"/>
      <w:r w:rsidRPr="005D04F5">
        <w:rPr>
          <w:rFonts w:asciiTheme="minorHAnsi" w:hAnsiTheme="minorHAnsi"/>
          <w:color w:val="404040" w:themeColor="text1" w:themeTint="BF"/>
          <w:sz w:val="16"/>
          <w:szCs w:val="16"/>
          <w:lang w:val="es-419"/>
        </w:rPr>
        <w:t>Secretariat</w:t>
      </w:r>
      <w:proofErr w:type="spellEnd"/>
      <w:r w:rsidRPr="005D04F5">
        <w:rPr>
          <w:rFonts w:asciiTheme="minorHAnsi" w:hAnsiTheme="minorHAnsi"/>
          <w:color w:val="404040" w:themeColor="text1" w:themeTint="BF"/>
          <w:sz w:val="16"/>
          <w:szCs w:val="16"/>
          <w:lang w:val="es-419"/>
        </w:rPr>
        <w:t xml:space="preserve"> </w:t>
      </w:r>
      <w:proofErr w:type="spellStart"/>
      <w:r w:rsidRPr="005D04F5">
        <w:rPr>
          <w:rFonts w:asciiTheme="minorHAnsi" w:hAnsiTheme="minorHAnsi"/>
          <w:color w:val="404040" w:themeColor="text1" w:themeTint="BF"/>
          <w:sz w:val="16"/>
          <w:szCs w:val="16"/>
          <w:lang w:val="es-419"/>
        </w:rPr>
        <w:t>of</w:t>
      </w:r>
      <w:proofErr w:type="spellEnd"/>
      <w:r w:rsidRPr="005D04F5">
        <w:rPr>
          <w:rFonts w:asciiTheme="minorHAnsi" w:hAnsiTheme="minorHAnsi"/>
          <w:color w:val="404040" w:themeColor="text1" w:themeTint="BF"/>
          <w:sz w:val="16"/>
          <w:szCs w:val="16"/>
          <w:lang w:val="es-419"/>
        </w:rPr>
        <w:t xml:space="preserve"> Security </w:t>
      </w:r>
      <w:proofErr w:type="spellStart"/>
      <w:r w:rsidRPr="005D04F5">
        <w:rPr>
          <w:rFonts w:asciiTheme="minorHAnsi" w:hAnsiTheme="minorHAnsi"/>
          <w:color w:val="404040" w:themeColor="text1" w:themeTint="BF"/>
          <w:sz w:val="16"/>
          <w:szCs w:val="16"/>
          <w:lang w:val="es-419"/>
        </w:rPr>
        <w:t>of</w:t>
      </w:r>
      <w:proofErr w:type="spellEnd"/>
      <w:r w:rsidRPr="005D04F5">
        <w:rPr>
          <w:rFonts w:asciiTheme="minorHAnsi" w:hAnsiTheme="minorHAnsi"/>
          <w:color w:val="404040" w:themeColor="text1" w:themeTint="BF"/>
          <w:sz w:val="16"/>
          <w:szCs w:val="16"/>
          <w:lang w:val="es-419"/>
        </w:rPr>
        <w:t xml:space="preserve"> Honduras, </w:t>
      </w:r>
      <w:r w:rsidRPr="005D04F5">
        <w:rPr>
          <w:rFonts w:asciiTheme="minorHAnsi" w:hAnsiTheme="minorHAnsi"/>
          <w:i/>
          <w:color w:val="404040" w:themeColor="text1" w:themeTint="BF"/>
          <w:sz w:val="16"/>
          <w:szCs w:val="16"/>
          <w:lang w:val="es-419"/>
        </w:rPr>
        <w:t>Sistema Estadístico Policial en Línea: Histórico Acumulado de Homicidios (Mensual).</w:t>
      </w:r>
      <w:r w:rsidRPr="005D04F5">
        <w:rPr>
          <w:rFonts w:asciiTheme="minorHAnsi" w:hAnsiTheme="minorHAnsi"/>
          <w:color w:val="404040" w:themeColor="text1" w:themeTint="BF"/>
          <w:sz w:val="16"/>
          <w:szCs w:val="16"/>
          <w:lang w:val="es-419"/>
        </w:rPr>
        <w:t xml:space="preserve"> </w:t>
      </w:r>
      <w:r w:rsidRPr="004F1A7B">
        <w:rPr>
          <w:rFonts w:asciiTheme="minorHAnsi" w:hAnsiTheme="minorHAnsi"/>
          <w:color w:val="404040" w:themeColor="text1" w:themeTint="BF"/>
          <w:sz w:val="16"/>
          <w:szCs w:val="16"/>
          <w:lang w:val="en-US"/>
        </w:rPr>
        <w:t xml:space="preserve">Available at: </w:t>
      </w:r>
      <w:hyperlink r:id="rId8" w:history="1">
        <w:r w:rsidRPr="004F1A7B">
          <w:rPr>
            <w:rStyle w:val="Hipervnculo"/>
            <w:rFonts w:asciiTheme="minorHAnsi" w:hAnsiTheme="minorHAnsi"/>
            <w:color w:val="404040" w:themeColor="text1" w:themeTint="BF"/>
            <w:sz w:val="16"/>
            <w:szCs w:val="16"/>
            <w:u w:color="A6A6A6" w:themeColor="background1" w:themeShade="A6"/>
            <w:lang w:val="en-US"/>
          </w:rPr>
          <w:t>https://www.sepol.hn/sepol-estadisticas-honduras.php?id=136</w:t>
        </w:r>
      </w:hyperlink>
      <w:r w:rsidRPr="004F1A7B">
        <w:rPr>
          <w:rStyle w:val="Hipervnculo"/>
          <w:rFonts w:asciiTheme="minorHAnsi" w:hAnsiTheme="minorHAnsi"/>
          <w:color w:val="404040" w:themeColor="text1" w:themeTint="BF"/>
          <w:sz w:val="16"/>
          <w:szCs w:val="16"/>
          <w:u w:color="A6A6A6" w:themeColor="background1" w:themeShade="A6"/>
          <w:lang w:val="en-US"/>
        </w:rPr>
        <w:t>.</w:t>
      </w:r>
    </w:p>
  </w:footnote>
  <w:footnote w:id="9">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United Nations. </w:t>
      </w:r>
      <w:r w:rsidRPr="004F1A7B">
        <w:rPr>
          <w:rFonts w:asciiTheme="minorHAnsi" w:hAnsiTheme="minorHAnsi"/>
          <w:i/>
          <w:color w:val="404040" w:themeColor="text1" w:themeTint="BF"/>
          <w:sz w:val="16"/>
          <w:szCs w:val="16"/>
          <w:lang w:val="en-US"/>
        </w:rPr>
        <w:t>Report of the Working Group on the use of mercenaries as a means of violating human rights and impeding the exercise of the right of peoples to self-determination</w:t>
      </w:r>
      <w:r w:rsidRPr="004F1A7B">
        <w:rPr>
          <w:rFonts w:asciiTheme="minorHAnsi" w:hAnsiTheme="minorHAnsi"/>
          <w:color w:val="404040" w:themeColor="text1" w:themeTint="BF"/>
          <w:sz w:val="16"/>
          <w:szCs w:val="16"/>
          <w:lang w:val="en-US"/>
        </w:rPr>
        <w:t xml:space="preserve">, Mission to Honduras (18–22 February 2013), A/HRC/24/45/Add.1, August 5, 2013, para. 12. Available at: </w:t>
      </w:r>
      <w:hyperlink r:id="rId9" w:history="1">
        <w:r w:rsidRPr="004F1A7B">
          <w:rPr>
            <w:rStyle w:val="Hipervnculo"/>
            <w:rFonts w:asciiTheme="minorHAnsi" w:hAnsiTheme="minorHAnsi"/>
            <w:color w:val="404040" w:themeColor="text1" w:themeTint="BF"/>
            <w:sz w:val="16"/>
            <w:szCs w:val="16"/>
            <w:u w:color="A6A6A6" w:themeColor="background1" w:themeShade="A6"/>
            <w:lang w:val="en-US"/>
          </w:rPr>
          <w:t>http://daccess-dds-ny.un.org/doc/–UN–DOC/GEN/G13/160/95/PDF/G1316095.pdf?OpenElement</w:t>
        </w:r>
      </w:hyperlink>
      <w:r w:rsidRPr="004F1A7B">
        <w:rPr>
          <w:rFonts w:asciiTheme="minorHAnsi" w:hAnsiTheme="minorHAnsi"/>
          <w:color w:val="404040" w:themeColor="text1" w:themeTint="BF"/>
          <w:sz w:val="16"/>
          <w:szCs w:val="16"/>
          <w:lang w:val="en-US"/>
        </w:rPr>
        <w:t>.</w:t>
      </w:r>
    </w:p>
  </w:footnote>
  <w:footnote w:id="10">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In its response to the draft of this report, the State of Honduras indicated that the Armed Forces of Honduras have no influence on the investigation and punishment of crimes involving organized crime. Communication from the State of Honduras, </w:t>
      </w:r>
      <w:r w:rsidRPr="00F7104F">
        <w:rPr>
          <w:rFonts w:asciiTheme="minorHAnsi" w:hAnsiTheme="minorHAnsi"/>
          <w:color w:val="404040" w:themeColor="text1" w:themeTint="BF"/>
          <w:sz w:val="16"/>
          <w:szCs w:val="16"/>
          <w:lang w:val="en-US"/>
        </w:rPr>
        <w:t>Note No. SG/064/MHOEA/2015</w:t>
      </w:r>
      <w:r w:rsidRPr="004F1A7B">
        <w:rPr>
          <w:rFonts w:asciiTheme="minorHAnsi" w:hAnsiTheme="minorHAnsi"/>
          <w:color w:val="404040" w:themeColor="text1" w:themeTint="BF"/>
          <w:sz w:val="16"/>
          <w:szCs w:val="16"/>
          <w:lang w:val="en-US"/>
        </w:rPr>
        <w:t>, Observations of the State of Honduras to the 2015 Draft Report on Honduras of the Inter-American Commission on Human Rights, December 14, 2015.</w:t>
      </w:r>
    </w:p>
  </w:footnote>
  <w:footnote w:id="11">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Law on control of firearms, ammunition, explosives and others, issued on June 19, 2000.</w:t>
      </w:r>
    </w:p>
  </w:footnote>
  <w:footnote w:id="12">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SV"/>
        </w:rPr>
        <w:tab/>
        <w:t>Casa Alianza</w:t>
      </w:r>
      <w:r w:rsidRPr="004F1A7B">
        <w:rPr>
          <w:rFonts w:asciiTheme="minorHAnsi" w:hAnsiTheme="minorHAnsi"/>
          <w:i/>
          <w:color w:val="404040" w:themeColor="text1" w:themeTint="BF"/>
          <w:sz w:val="16"/>
          <w:szCs w:val="16"/>
          <w:lang w:val="es-SV"/>
        </w:rPr>
        <w:t>. Violencia, niñez y juventud en Honduras: Un acercamiento a las principales manifestaciones de la violencia contra niñas, niños y jóvenes</w:t>
      </w:r>
      <w:r w:rsidRPr="004F1A7B">
        <w:rPr>
          <w:rFonts w:asciiTheme="minorHAnsi" w:hAnsiTheme="minorHAnsi"/>
          <w:color w:val="404040" w:themeColor="text1" w:themeTint="BF"/>
          <w:sz w:val="16"/>
          <w:szCs w:val="16"/>
          <w:lang w:val="es-SV"/>
        </w:rPr>
        <w:t xml:space="preserve">, </w:t>
      </w:r>
      <w:proofErr w:type="spellStart"/>
      <w:r w:rsidRPr="004F1A7B">
        <w:rPr>
          <w:rFonts w:asciiTheme="minorHAnsi" w:hAnsiTheme="minorHAnsi"/>
          <w:color w:val="404040" w:themeColor="text1" w:themeTint="BF"/>
          <w:sz w:val="16"/>
          <w:szCs w:val="16"/>
          <w:lang w:val="es-SV"/>
        </w:rPr>
        <w:t>July</w:t>
      </w:r>
      <w:proofErr w:type="spellEnd"/>
      <w:r w:rsidRPr="004F1A7B">
        <w:rPr>
          <w:rFonts w:asciiTheme="minorHAnsi" w:hAnsiTheme="minorHAnsi"/>
          <w:color w:val="404040" w:themeColor="text1" w:themeTint="BF"/>
          <w:sz w:val="16"/>
          <w:szCs w:val="16"/>
          <w:lang w:val="es-SV"/>
        </w:rPr>
        <w:t xml:space="preserve">, 2014; Foro de Mujeres por la Vida- Convergencia por los Derechos Humanos, San Pedro Sula, </w:t>
      </w:r>
      <w:proofErr w:type="spellStart"/>
      <w:r w:rsidRPr="004F1A7B">
        <w:rPr>
          <w:rFonts w:asciiTheme="minorHAnsi" w:hAnsiTheme="minorHAnsi"/>
          <w:color w:val="404040" w:themeColor="text1" w:themeTint="BF"/>
          <w:sz w:val="16"/>
          <w:szCs w:val="16"/>
          <w:lang w:val="es-SV"/>
        </w:rPr>
        <w:t>December</w:t>
      </w:r>
      <w:proofErr w:type="spellEnd"/>
      <w:r w:rsidRPr="004F1A7B">
        <w:rPr>
          <w:rFonts w:asciiTheme="minorHAnsi" w:hAnsiTheme="minorHAnsi"/>
          <w:color w:val="404040" w:themeColor="text1" w:themeTint="BF"/>
          <w:sz w:val="16"/>
          <w:szCs w:val="16"/>
          <w:lang w:val="es-SV"/>
        </w:rPr>
        <w:t xml:space="preserve"> 3, 2014. </w:t>
      </w:r>
      <w:r w:rsidRPr="004F1A7B">
        <w:rPr>
          <w:rFonts w:asciiTheme="minorHAnsi" w:hAnsiTheme="minorHAnsi"/>
          <w:color w:val="404040" w:themeColor="text1" w:themeTint="BF"/>
          <w:sz w:val="16"/>
          <w:szCs w:val="16"/>
          <w:lang w:val="en-US"/>
        </w:rPr>
        <w:t xml:space="preserve">A business known as “La </w:t>
      </w:r>
      <w:proofErr w:type="spellStart"/>
      <w:r w:rsidRPr="004F1A7B">
        <w:rPr>
          <w:rFonts w:asciiTheme="minorHAnsi" w:hAnsiTheme="minorHAnsi"/>
          <w:color w:val="404040" w:themeColor="text1" w:themeTint="BF"/>
          <w:sz w:val="16"/>
          <w:szCs w:val="16"/>
          <w:lang w:val="en-US"/>
        </w:rPr>
        <w:t>Armería</w:t>
      </w:r>
      <w:proofErr w:type="spellEnd"/>
      <w:r w:rsidRPr="004F1A7B">
        <w:rPr>
          <w:rFonts w:asciiTheme="minorHAnsi" w:hAnsiTheme="minorHAnsi"/>
          <w:color w:val="404040" w:themeColor="text1" w:themeTint="BF"/>
          <w:sz w:val="16"/>
          <w:szCs w:val="16"/>
          <w:lang w:val="en-US"/>
        </w:rPr>
        <w:t>” of the Armed Forces is the only one responsible for importing and selling firearms in the country.</w:t>
      </w:r>
    </w:p>
  </w:footnote>
  <w:footnote w:id="13">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United Nations. </w:t>
      </w:r>
      <w:r w:rsidRPr="004F1A7B">
        <w:rPr>
          <w:rFonts w:asciiTheme="minorHAnsi" w:hAnsiTheme="minorHAnsi"/>
          <w:i/>
          <w:color w:val="404040" w:themeColor="text1" w:themeTint="BF"/>
          <w:sz w:val="16"/>
          <w:szCs w:val="16"/>
          <w:lang w:val="en-US"/>
        </w:rPr>
        <w:t>Report of the Working Group on the use of mercenaries as a means of violating human rights and impeding the exercise of the right of peoples to self-determination</w:t>
      </w:r>
      <w:r w:rsidRPr="004F1A7B">
        <w:rPr>
          <w:rFonts w:asciiTheme="minorHAnsi" w:hAnsiTheme="minorHAnsi"/>
          <w:color w:val="404040" w:themeColor="text1" w:themeTint="BF"/>
          <w:sz w:val="16"/>
          <w:szCs w:val="16"/>
          <w:lang w:val="en-US"/>
        </w:rPr>
        <w:t xml:space="preserve">, Mission to Honduras (18–22 February 2013), A/HRC/24/45/Add.1, August 5, 2013, para. 14. Available at: </w:t>
      </w:r>
      <w:hyperlink r:id="rId10" w:history="1">
        <w:r w:rsidRPr="004F1A7B">
          <w:rPr>
            <w:rStyle w:val="Hipervnculo"/>
            <w:rFonts w:asciiTheme="minorHAnsi" w:hAnsiTheme="minorHAnsi"/>
            <w:color w:val="404040" w:themeColor="text1" w:themeTint="BF"/>
            <w:sz w:val="16"/>
            <w:szCs w:val="16"/>
            <w:u w:color="A6A6A6" w:themeColor="background1" w:themeShade="A6"/>
            <w:lang w:val="en-US"/>
          </w:rPr>
          <w:t>http://daccess-dds-ny.un.org/doc/UND–OC/GEN/G13/160/95/PDF/G1316095.pdf?OpenElement</w:t>
        </w:r>
      </w:hyperlink>
      <w:r w:rsidRPr="004F1A7B">
        <w:rPr>
          <w:rStyle w:val="Hipervnculo"/>
          <w:rFonts w:asciiTheme="minorHAnsi" w:hAnsiTheme="minorHAnsi"/>
          <w:color w:val="404040" w:themeColor="text1" w:themeTint="BF"/>
          <w:sz w:val="16"/>
          <w:szCs w:val="16"/>
          <w:u w:val="none"/>
          <w:lang w:val="en-US"/>
        </w:rPr>
        <w:t>.</w:t>
      </w:r>
    </w:p>
  </w:footnote>
  <w:footnote w:id="14">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United Nations. </w:t>
      </w:r>
      <w:r w:rsidRPr="004F1A7B">
        <w:rPr>
          <w:rFonts w:asciiTheme="minorHAnsi" w:hAnsiTheme="minorHAnsi"/>
          <w:i/>
          <w:color w:val="404040" w:themeColor="text1" w:themeTint="BF"/>
          <w:sz w:val="16"/>
          <w:szCs w:val="16"/>
          <w:lang w:val="en-US"/>
        </w:rPr>
        <w:t>Report of the Working Group on the use of mercenaries as a means of violating human rights and impeding the exercise of the right of peoples to self-determination</w:t>
      </w:r>
      <w:r w:rsidRPr="004F1A7B">
        <w:rPr>
          <w:rFonts w:asciiTheme="minorHAnsi" w:hAnsiTheme="minorHAnsi"/>
          <w:color w:val="404040" w:themeColor="text1" w:themeTint="BF"/>
          <w:sz w:val="16"/>
          <w:szCs w:val="16"/>
          <w:lang w:val="en-US"/>
        </w:rPr>
        <w:t xml:space="preserve">, Mission to Honduras (18–22 February 2013), A/HRC/24/45/Add.1, August 5, 2013. Available at: </w:t>
      </w:r>
      <w:hyperlink r:id="rId11" w:history="1">
        <w:r w:rsidRPr="004F1A7B">
          <w:rPr>
            <w:rStyle w:val="Hipervnculo"/>
            <w:rFonts w:asciiTheme="minorHAnsi" w:hAnsiTheme="minorHAnsi"/>
            <w:color w:val="404040" w:themeColor="text1" w:themeTint="BF"/>
            <w:sz w:val="16"/>
            <w:szCs w:val="16"/>
            <w:u w:color="A6A6A6" w:themeColor="background1" w:themeShade="A6"/>
            <w:lang w:val="en-US"/>
          </w:rPr>
          <w:t>http://daccess-dds-ny.un.org/doc/UNDOC/GEN/–G13/160/95/PDF/G1316095.pdf?OpenElement</w:t>
        </w:r>
      </w:hyperlink>
      <w:r w:rsidRPr="004F1A7B">
        <w:rPr>
          <w:rFonts w:asciiTheme="minorHAnsi" w:hAnsiTheme="minorHAnsi"/>
          <w:color w:val="404040" w:themeColor="text1" w:themeTint="BF"/>
          <w:sz w:val="16"/>
          <w:szCs w:val="16"/>
          <w:lang w:val="en-US"/>
        </w:rPr>
        <w:t>.</w:t>
      </w:r>
    </w:p>
  </w:footnote>
  <w:footnote w:id="15">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SV"/>
        </w:rPr>
        <w:t xml:space="preserve"> </w:t>
      </w:r>
      <w:r w:rsidRPr="004F1A7B">
        <w:rPr>
          <w:rFonts w:asciiTheme="minorHAnsi" w:hAnsiTheme="minorHAnsi"/>
          <w:color w:val="404040" w:themeColor="text1" w:themeTint="BF"/>
          <w:sz w:val="16"/>
          <w:szCs w:val="16"/>
          <w:lang w:val="es-SV"/>
        </w:rPr>
        <w:tab/>
        <w:t xml:space="preserve">La Prensa, 2015. </w:t>
      </w:r>
      <w:r w:rsidRPr="004F1A7B">
        <w:rPr>
          <w:rFonts w:asciiTheme="minorHAnsi" w:hAnsiTheme="minorHAnsi"/>
          <w:i/>
          <w:color w:val="404040" w:themeColor="text1" w:themeTint="BF"/>
          <w:sz w:val="16"/>
          <w:szCs w:val="16"/>
          <w:lang w:val="es-SV"/>
        </w:rPr>
        <w:t>Asesinan a abogado a pocas cuadras del parque de San Pedro Sula</w:t>
      </w:r>
      <w:r w:rsidRPr="004F1A7B">
        <w:rPr>
          <w:rFonts w:asciiTheme="minorHAnsi" w:hAnsiTheme="minorHAnsi"/>
          <w:color w:val="404040" w:themeColor="text1" w:themeTint="BF"/>
          <w:sz w:val="16"/>
          <w:szCs w:val="16"/>
          <w:lang w:val="es-SV"/>
        </w:rPr>
        <w:t xml:space="preserve">, March 14, 2015. </w:t>
      </w:r>
      <w:r w:rsidRPr="004F1A7B">
        <w:rPr>
          <w:rFonts w:asciiTheme="minorHAnsi" w:hAnsiTheme="minorHAnsi"/>
          <w:color w:val="404040" w:themeColor="text1" w:themeTint="BF"/>
          <w:sz w:val="16"/>
          <w:szCs w:val="16"/>
          <w:lang w:val="en-US"/>
        </w:rPr>
        <w:t xml:space="preserve">Available at: </w:t>
      </w:r>
      <w:hyperlink r:id="rId12" w:history="1">
        <w:r w:rsidRPr="004F1A7B">
          <w:rPr>
            <w:rStyle w:val="Hipervnculo"/>
            <w:rFonts w:asciiTheme="minorHAnsi" w:hAnsiTheme="minorHAnsi"/>
            <w:color w:val="404040" w:themeColor="text1" w:themeTint="BF"/>
            <w:sz w:val="16"/>
            <w:szCs w:val="16"/>
            <w:u w:color="A6A6A6" w:themeColor="background1" w:themeShade="A6"/>
            <w:lang w:val="en-US"/>
          </w:rPr>
          <w:t>http://www.laprensa.hn/sucesos/822362-410/asesinan-a-abogado-a-pocas-cuadras-del-par–q–ue-desan-pedro-sula</w:t>
        </w:r>
      </w:hyperlink>
      <w:r w:rsidRPr="004F1A7B">
        <w:rPr>
          <w:rStyle w:val="Hipervnculo"/>
          <w:rFonts w:asciiTheme="minorHAnsi" w:hAnsiTheme="minorHAnsi"/>
          <w:color w:val="404040" w:themeColor="text1" w:themeTint="BF"/>
          <w:sz w:val="16"/>
          <w:szCs w:val="16"/>
          <w:u w:val="none" w:color="BFBFBF" w:themeColor="background1" w:themeShade="BF"/>
          <w:lang w:val="en-US"/>
        </w:rPr>
        <w:t>.</w:t>
      </w:r>
    </w:p>
  </w:footnote>
  <w:footnote w:id="16">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IACHR</w:t>
      </w:r>
      <w:r>
        <w:rPr>
          <w:rFonts w:asciiTheme="minorHAnsi" w:hAnsiTheme="minorHAnsi"/>
          <w:color w:val="404040" w:themeColor="text1" w:themeTint="BF"/>
          <w:sz w:val="16"/>
          <w:szCs w:val="16"/>
          <w:lang w:val="en-US"/>
        </w:rPr>
        <w:t>,</w:t>
      </w:r>
      <w:r w:rsidRPr="004F1A7B">
        <w:rPr>
          <w:rFonts w:asciiTheme="minorHAnsi" w:hAnsiTheme="minorHAnsi"/>
          <w:color w:val="404040" w:themeColor="text1" w:themeTint="BF"/>
          <w:sz w:val="16"/>
          <w:szCs w:val="16"/>
          <w:lang w:val="en-US"/>
        </w:rPr>
        <w:t xml:space="preserve"> </w:t>
      </w:r>
      <w:r w:rsidRPr="00CB2D48">
        <w:rPr>
          <w:rFonts w:asciiTheme="minorHAnsi" w:hAnsiTheme="minorHAnsi"/>
          <w:i/>
          <w:color w:val="404040" w:themeColor="text1" w:themeTint="BF"/>
          <w:sz w:val="16"/>
          <w:szCs w:val="16"/>
          <w:lang w:val="en-US"/>
        </w:rPr>
        <w:t>Annual Report 2013</w:t>
      </w:r>
      <w:r w:rsidRPr="004F1A7B">
        <w:rPr>
          <w:rFonts w:asciiTheme="minorHAnsi" w:hAnsiTheme="minorHAnsi"/>
          <w:color w:val="404040" w:themeColor="text1" w:themeTint="BF"/>
          <w:sz w:val="16"/>
          <w:szCs w:val="16"/>
          <w:lang w:val="en-US"/>
        </w:rPr>
        <w:t>. See section Ch. IV B. 2013.</w:t>
      </w:r>
    </w:p>
  </w:footnote>
  <w:footnote w:id="17">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Style w:val="Hipervnculo"/>
          <w:rFonts w:asciiTheme="minorHAnsi" w:hAnsiTheme="minorHAnsi"/>
          <w:color w:val="404040" w:themeColor="text1" w:themeTint="BF"/>
          <w:sz w:val="16"/>
          <w:szCs w:val="16"/>
          <w:u w:val="none"/>
          <w:lang w:val="en-US"/>
        </w:rPr>
        <w:tab/>
        <w:t xml:space="preserve">On January 21, 2014, the remains the </w:t>
      </w:r>
      <w:proofErr w:type="spellStart"/>
      <w:r w:rsidRPr="004F1A7B">
        <w:rPr>
          <w:rStyle w:val="Hipervnculo"/>
          <w:rFonts w:asciiTheme="minorHAnsi" w:hAnsiTheme="minorHAnsi"/>
          <w:color w:val="404040" w:themeColor="text1" w:themeTint="BF"/>
          <w:sz w:val="16"/>
          <w:szCs w:val="16"/>
          <w:u w:val="none"/>
          <w:lang w:val="en-US"/>
        </w:rPr>
        <w:t>Lenca</w:t>
      </w:r>
      <w:proofErr w:type="spellEnd"/>
      <w:r w:rsidRPr="004F1A7B">
        <w:rPr>
          <w:rStyle w:val="Hipervnculo"/>
          <w:rFonts w:asciiTheme="minorHAnsi" w:hAnsiTheme="minorHAnsi"/>
          <w:color w:val="404040" w:themeColor="text1" w:themeTint="BF"/>
          <w:sz w:val="16"/>
          <w:szCs w:val="16"/>
          <w:u w:val="none"/>
          <w:lang w:val="en-US"/>
        </w:rPr>
        <w:t xml:space="preserve"> indigenous leader Justo </w:t>
      </w:r>
      <w:proofErr w:type="spellStart"/>
      <w:r w:rsidRPr="004F1A7B">
        <w:rPr>
          <w:rStyle w:val="Hipervnculo"/>
          <w:rFonts w:asciiTheme="minorHAnsi" w:hAnsiTheme="minorHAnsi"/>
          <w:color w:val="404040" w:themeColor="text1" w:themeTint="BF"/>
          <w:sz w:val="16"/>
          <w:szCs w:val="16"/>
          <w:u w:val="none"/>
          <w:lang w:val="en-US"/>
        </w:rPr>
        <w:t>Sorto</w:t>
      </w:r>
      <w:proofErr w:type="spellEnd"/>
      <w:r w:rsidRPr="004F1A7B">
        <w:rPr>
          <w:rStyle w:val="Hipervnculo"/>
          <w:rFonts w:asciiTheme="minorHAnsi" w:hAnsiTheme="minorHAnsi"/>
          <w:color w:val="404040" w:themeColor="text1" w:themeTint="BF"/>
          <w:sz w:val="16"/>
          <w:szCs w:val="16"/>
          <w:u w:val="none"/>
          <w:lang w:val="en-US"/>
        </w:rPr>
        <w:t xml:space="preserve"> were found on a farm at the </w:t>
      </w:r>
      <w:proofErr w:type="spellStart"/>
      <w:r w:rsidRPr="004F1A7B">
        <w:rPr>
          <w:rStyle w:val="Hipervnculo"/>
          <w:rFonts w:asciiTheme="minorHAnsi" w:hAnsiTheme="minorHAnsi"/>
          <w:color w:val="404040" w:themeColor="text1" w:themeTint="BF"/>
          <w:sz w:val="16"/>
          <w:szCs w:val="16"/>
          <w:u w:val="none"/>
          <w:lang w:val="en-US"/>
        </w:rPr>
        <w:t>Yance</w:t>
      </w:r>
      <w:proofErr w:type="spellEnd"/>
      <w:r w:rsidRPr="004F1A7B">
        <w:rPr>
          <w:rStyle w:val="Hipervnculo"/>
          <w:rFonts w:asciiTheme="minorHAnsi" w:hAnsiTheme="minorHAnsi"/>
          <w:color w:val="404040" w:themeColor="text1" w:themeTint="BF"/>
          <w:sz w:val="16"/>
          <w:szCs w:val="16"/>
          <w:u w:val="none"/>
          <w:lang w:val="en-US"/>
        </w:rPr>
        <w:t xml:space="preserve"> community in the Municipality of </w:t>
      </w:r>
      <w:r w:rsidRPr="004F1A7B">
        <w:rPr>
          <w:rFonts w:asciiTheme="minorHAnsi" w:hAnsiTheme="minorHAnsi"/>
          <w:color w:val="404040" w:themeColor="text1" w:themeTint="BF"/>
          <w:sz w:val="16"/>
          <w:szCs w:val="16"/>
          <w:lang w:val="en-US"/>
        </w:rPr>
        <w:t xml:space="preserve">Jesús de </w:t>
      </w:r>
      <w:proofErr w:type="spellStart"/>
      <w:r w:rsidRPr="004F1A7B">
        <w:rPr>
          <w:rFonts w:asciiTheme="minorHAnsi" w:hAnsiTheme="minorHAnsi"/>
          <w:color w:val="404040" w:themeColor="text1" w:themeTint="BF"/>
          <w:sz w:val="16"/>
          <w:szCs w:val="16"/>
          <w:lang w:val="en-US"/>
        </w:rPr>
        <w:t>Otoro</w:t>
      </w:r>
      <w:proofErr w:type="spellEnd"/>
      <w:r w:rsidRPr="004F1A7B">
        <w:rPr>
          <w:rFonts w:asciiTheme="minorHAnsi" w:hAnsiTheme="minorHAnsi"/>
          <w:color w:val="404040" w:themeColor="text1" w:themeTint="BF"/>
          <w:sz w:val="16"/>
          <w:szCs w:val="16"/>
          <w:lang w:val="en-US"/>
        </w:rPr>
        <w:t>, D</w:t>
      </w:r>
      <w:r w:rsidRPr="004F1A7B">
        <w:rPr>
          <w:rStyle w:val="Hipervnculo"/>
          <w:rFonts w:asciiTheme="minorHAnsi" w:hAnsiTheme="minorHAnsi"/>
          <w:color w:val="404040" w:themeColor="text1" w:themeTint="BF"/>
          <w:sz w:val="16"/>
          <w:szCs w:val="16"/>
          <w:u w:val="none"/>
          <w:lang w:val="en-US"/>
        </w:rPr>
        <w:t xml:space="preserve">epartment of Intibucá, Western Honduras. Justo </w:t>
      </w:r>
      <w:proofErr w:type="spellStart"/>
      <w:r w:rsidRPr="004F1A7B">
        <w:rPr>
          <w:rStyle w:val="Hipervnculo"/>
          <w:rFonts w:asciiTheme="minorHAnsi" w:hAnsiTheme="minorHAnsi"/>
          <w:color w:val="404040" w:themeColor="text1" w:themeTint="BF"/>
          <w:sz w:val="16"/>
          <w:szCs w:val="16"/>
          <w:u w:val="none"/>
          <w:lang w:val="en-US"/>
        </w:rPr>
        <w:t>Sorto</w:t>
      </w:r>
      <w:proofErr w:type="spellEnd"/>
      <w:r w:rsidRPr="004F1A7B">
        <w:rPr>
          <w:rStyle w:val="Hipervnculo"/>
          <w:rFonts w:asciiTheme="minorHAnsi" w:hAnsiTheme="minorHAnsi"/>
          <w:color w:val="404040" w:themeColor="text1" w:themeTint="BF"/>
          <w:sz w:val="16"/>
          <w:szCs w:val="16"/>
          <w:u w:val="none"/>
          <w:lang w:val="en-US"/>
        </w:rPr>
        <w:t xml:space="preserve"> was a member of COPINH. Front Line Defenders, </w:t>
      </w:r>
      <w:r w:rsidRPr="004F1A7B">
        <w:rPr>
          <w:rStyle w:val="Hipervnculo"/>
          <w:rFonts w:asciiTheme="minorHAnsi" w:hAnsiTheme="minorHAnsi"/>
          <w:i/>
          <w:color w:val="404040" w:themeColor="text1" w:themeTint="BF"/>
          <w:sz w:val="16"/>
          <w:szCs w:val="16"/>
          <w:u w:val="none"/>
          <w:lang w:val="en-US"/>
        </w:rPr>
        <w:t xml:space="preserve">Honduras: Killing of human rights and defend </w:t>
      </w:r>
      <w:proofErr w:type="spellStart"/>
      <w:r w:rsidRPr="004F1A7B">
        <w:rPr>
          <w:rStyle w:val="Hipervnculo"/>
          <w:rFonts w:asciiTheme="minorHAnsi" w:hAnsiTheme="minorHAnsi"/>
          <w:i/>
          <w:color w:val="404040" w:themeColor="text1" w:themeTint="BF"/>
          <w:sz w:val="16"/>
          <w:szCs w:val="16"/>
          <w:u w:val="none"/>
          <w:lang w:val="en-US"/>
        </w:rPr>
        <w:t>Lenca</w:t>
      </w:r>
      <w:proofErr w:type="spellEnd"/>
      <w:r w:rsidRPr="004F1A7B">
        <w:rPr>
          <w:rStyle w:val="Hipervnculo"/>
          <w:rFonts w:asciiTheme="minorHAnsi" w:hAnsiTheme="minorHAnsi"/>
          <w:i/>
          <w:color w:val="404040" w:themeColor="text1" w:themeTint="BF"/>
          <w:sz w:val="16"/>
          <w:szCs w:val="16"/>
          <w:u w:val="none"/>
          <w:lang w:val="en-US"/>
        </w:rPr>
        <w:t xml:space="preserve"> Indigenous leader </w:t>
      </w:r>
      <w:proofErr w:type="spellStart"/>
      <w:r w:rsidRPr="004F1A7B">
        <w:rPr>
          <w:rStyle w:val="Hipervnculo"/>
          <w:rFonts w:asciiTheme="minorHAnsi" w:hAnsiTheme="minorHAnsi"/>
          <w:i/>
          <w:color w:val="404040" w:themeColor="text1" w:themeTint="BF"/>
          <w:sz w:val="16"/>
          <w:szCs w:val="16"/>
          <w:u w:val="none"/>
          <w:lang w:val="en-US"/>
        </w:rPr>
        <w:t>Mr</w:t>
      </w:r>
      <w:proofErr w:type="spellEnd"/>
      <w:r w:rsidRPr="004F1A7B">
        <w:rPr>
          <w:rStyle w:val="Hipervnculo"/>
          <w:rFonts w:asciiTheme="minorHAnsi" w:hAnsiTheme="minorHAnsi"/>
          <w:i/>
          <w:color w:val="404040" w:themeColor="text1" w:themeTint="BF"/>
          <w:sz w:val="16"/>
          <w:szCs w:val="16"/>
          <w:u w:val="none"/>
          <w:lang w:val="en-US"/>
        </w:rPr>
        <w:t xml:space="preserve"> Justo Soto</w:t>
      </w:r>
      <w:r w:rsidRPr="004F1A7B">
        <w:rPr>
          <w:rStyle w:val="Hipervnculo"/>
          <w:rFonts w:asciiTheme="minorHAnsi" w:hAnsiTheme="minorHAnsi"/>
          <w:color w:val="404040" w:themeColor="text1" w:themeTint="BF"/>
          <w:sz w:val="16"/>
          <w:szCs w:val="16"/>
          <w:u w:val="none"/>
          <w:lang w:val="en-US"/>
        </w:rPr>
        <w:t xml:space="preserve">, January 24, 2014. Available at: </w:t>
      </w:r>
      <w:hyperlink r:id="rId13" w:history="1">
        <w:r w:rsidRPr="004F1A7B">
          <w:rPr>
            <w:rStyle w:val="Hipervnculo"/>
            <w:rFonts w:asciiTheme="minorHAnsi" w:hAnsiTheme="minorHAnsi"/>
            <w:color w:val="404040" w:themeColor="text1" w:themeTint="BF"/>
            <w:sz w:val="16"/>
            <w:szCs w:val="16"/>
            <w:u w:color="A6A6A6" w:themeColor="background1" w:themeShade="A6"/>
            <w:lang w:val="en-US"/>
          </w:rPr>
          <w:t>https://www.frontlinedefenders.org/–node/24742</w:t>
        </w:r>
      </w:hyperlink>
      <w:r w:rsidRPr="004F1A7B">
        <w:rPr>
          <w:rStyle w:val="Hipervnculo"/>
          <w:rFonts w:asciiTheme="minorHAnsi" w:hAnsiTheme="minorHAnsi"/>
          <w:color w:val="404040" w:themeColor="text1" w:themeTint="BF"/>
          <w:sz w:val="16"/>
          <w:szCs w:val="16"/>
          <w:u w:val="none"/>
          <w:lang w:val="en-US"/>
        </w:rPr>
        <w:t xml:space="preserve">. On October 29, 2014, </w:t>
      </w:r>
      <w:proofErr w:type="spellStart"/>
      <w:r w:rsidRPr="004F1A7B">
        <w:rPr>
          <w:rStyle w:val="Hipervnculo"/>
          <w:rFonts w:asciiTheme="minorHAnsi" w:hAnsiTheme="minorHAnsi"/>
          <w:color w:val="404040" w:themeColor="text1" w:themeTint="BF"/>
          <w:sz w:val="16"/>
          <w:szCs w:val="16"/>
          <w:u w:val="none"/>
          <w:lang w:val="en-US"/>
        </w:rPr>
        <w:t>Maycol</w:t>
      </w:r>
      <w:proofErr w:type="spellEnd"/>
      <w:r w:rsidRPr="004F1A7B">
        <w:rPr>
          <w:rStyle w:val="Hipervnculo"/>
          <w:rFonts w:asciiTheme="minorHAnsi" w:hAnsiTheme="minorHAnsi"/>
          <w:color w:val="404040" w:themeColor="text1" w:themeTint="BF"/>
          <w:sz w:val="16"/>
          <w:szCs w:val="16"/>
          <w:u w:val="none"/>
          <w:lang w:val="en-US"/>
        </w:rPr>
        <w:t xml:space="preserve"> Ariel Garcia –a </w:t>
      </w:r>
      <w:proofErr w:type="gramStart"/>
      <w:r w:rsidRPr="004F1A7B">
        <w:rPr>
          <w:rStyle w:val="Hipervnculo"/>
          <w:rFonts w:asciiTheme="minorHAnsi" w:hAnsiTheme="minorHAnsi"/>
          <w:color w:val="404040" w:themeColor="text1" w:themeTint="BF"/>
          <w:sz w:val="16"/>
          <w:szCs w:val="16"/>
          <w:u w:val="none"/>
          <w:lang w:val="en-US"/>
        </w:rPr>
        <w:t>15 year-old</w:t>
      </w:r>
      <w:proofErr w:type="gramEnd"/>
      <w:r w:rsidRPr="004F1A7B">
        <w:rPr>
          <w:rStyle w:val="Hipervnculo"/>
          <w:rFonts w:asciiTheme="minorHAnsi" w:hAnsiTheme="minorHAnsi"/>
          <w:color w:val="404040" w:themeColor="text1" w:themeTint="BF"/>
          <w:sz w:val="16"/>
          <w:szCs w:val="16"/>
          <w:u w:val="none"/>
          <w:lang w:val="en-US"/>
        </w:rPr>
        <w:t xml:space="preserve"> </w:t>
      </w:r>
      <w:proofErr w:type="spellStart"/>
      <w:r w:rsidRPr="004F1A7B">
        <w:rPr>
          <w:rStyle w:val="Hipervnculo"/>
          <w:rFonts w:asciiTheme="minorHAnsi" w:hAnsiTheme="minorHAnsi"/>
          <w:color w:val="404040" w:themeColor="text1" w:themeTint="BF"/>
          <w:sz w:val="16"/>
          <w:szCs w:val="16"/>
          <w:u w:val="none"/>
          <w:lang w:val="en-US"/>
        </w:rPr>
        <w:t>Lenca</w:t>
      </w:r>
      <w:proofErr w:type="spellEnd"/>
      <w:r w:rsidRPr="004F1A7B">
        <w:rPr>
          <w:rStyle w:val="Hipervnculo"/>
          <w:rFonts w:asciiTheme="minorHAnsi" w:hAnsiTheme="minorHAnsi"/>
          <w:color w:val="404040" w:themeColor="text1" w:themeTint="BF"/>
          <w:sz w:val="16"/>
          <w:szCs w:val="16"/>
          <w:u w:val="none"/>
          <w:lang w:val="en-US"/>
        </w:rPr>
        <w:t xml:space="preserve"> boy of the Rio Blanco community— was found, murdered; he was a member of COPINH and a defender of </w:t>
      </w:r>
      <w:r w:rsidRPr="004F1A7B">
        <w:rPr>
          <w:rFonts w:asciiTheme="minorHAnsi" w:hAnsiTheme="minorHAnsi"/>
          <w:color w:val="404040" w:themeColor="text1" w:themeTint="BF"/>
          <w:sz w:val="16"/>
          <w:szCs w:val="16"/>
          <w:lang w:val="en-US"/>
        </w:rPr>
        <w:t xml:space="preserve">Río </w:t>
      </w:r>
      <w:proofErr w:type="spellStart"/>
      <w:r w:rsidRPr="004F1A7B">
        <w:rPr>
          <w:rFonts w:asciiTheme="minorHAnsi" w:hAnsiTheme="minorHAnsi"/>
          <w:color w:val="404040" w:themeColor="text1" w:themeTint="BF"/>
          <w:sz w:val="16"/>
          <w:szCs w:val="16"/>
          <w:lang w:val="en-US"/>
        </w:rPr>
        <w:t>Gualcarque</w:t>
      </w:r>
      <w:proofErr w:type="spellEnd"/>
      <w:r w:rsidRPr="004F1A7B">
        <w:rPr>
          <w:rStyle w:val="Hipervnculo"/>
          <w:rFonts w:asciiTheme="minorHAnsi" w:hAnsiTheme="minorHAnsi"/>
          <w:color w:val="404040" w:themeColor="text1" w:themeTint="BF"/>
          <w:sz w:val="16"/>
          <w:szCs w:val="16"/>
          <w:u w:val="none"/>
          <w:lang w:val="en-US"/>
        </w:rPr>
        <w:t xml:space="preserve"> and his territory. International Work Group for Indigenous Affairs, </w:t>
      </w:r>
      <w:r w:rsidRPr="004F1A7B">
        <w:rPr>
          <w:rStyle w:val="Hipervnculo"/>
          <w:rFonts w:asciiTheme="minorHAnsi" w:hAnsiTheme="minorHAnsi"/>
          <w:i/>
          <w:color w:val="404040" w:themeColor="text1" w:themeTint="BF"/>
          <w:sz w:val="16"/>
          <w:szCs w:val="16"/>
          <w:u w:val="none"/>
          <w:lang w:val="en-US"/>
        </w:rPr>
        <w:t>The Indigenous World</w:t>
      </w:r>
      <w:r w:rsidRPr="004F1A7B">
        <w:rPr>
          <w:rStyle w:val="Hipervnculo"/>
          <w:rFonts w:asciiTheme="minorHAnsi" w:hAnsiTheme="minorHAnsi"/>
          <w:color w:val="404040" w:themeColor="text1" w:themeTint="BF"/>
          <w:sz w:val="16"/>
          <w:szCs w:val="16"/>
          <w:u w:val="none"/>
          <w:lang w:val="en-US"/>
        </w:rPr>
        <w:t xml:space="preserve"> 2015, April 2015, p. 92. Available at: </w:t>
      </w:r>
      <w:hyperlink r:id="rId14" w:history="1">
        <w:r w:rsidRPr="004F1A7B">
          <w:rPr>
            <w:rStyle w:val="Hipervnculo"/>
            <w:rFonts w:asciiTheme="minorHAnsi" w:hAnsiTheme="minorHAnsi"/>
            <w:color w:val="404040" w:themeColor="text1" w:themeTint="BF"/>
            <w:sz w:val="16"/>
            <w:szCs w:val="16"/>
            <w:u w:color="A6A6A6" w:themeColor="background1" w:themeShade="A6"/>
            <w:lang w:val="en-US"/>
          </w:rPr>
          <w:t>http://www.iwgia.org/iwgia_files_publications_files/0716_THE_INDIGENOUS_ORLD_2015_eb–.pdf</w:t>
        </w:r>
      </w:hyperlink>
      <w:r w:rsidRPr="004F1A7B">
        <w:rPr>
          <w:rStyle w:val="Hipervnculo"/>
          <w:rFonts w:asciiTheme="minorHAnsi" w:hAnsiTheme="minorHAnsi"/>
          <w:color w:val="404040" w:themeColor="text1" w:themeTint="BF"/>
          <w:sz w:val="16"/>
          <w:szCs w:val="16"/>
          <w:u w:val="none"/>
          <w:lang w:val="en-US"/>
        </w:rPr>
        <w:t xml:space="preserve"> According to the Honduran Promotion</w:t>
      </w:r>
      <w:r w:rsidRPr="004F1A7B">
        <w:rPr>
          <w:rStyle w:val="Hipervnculo"/>
          <w:rFonts w:asciiTheme="minorHAnsi" w:hAnsiTheme="minorHAnsi"/>
          <w:color w:val="404040" w:themeColor="text1" w:themeTint="BF"/>
          <w:sz w:val="16"/>
          <w:szCs w:val="16"/>
          <w:u w:color="A6A6A6" w:themeColor="background1" w:themeShade="A6"/>
          <w:lang w:val="en-US"/>
        </w:rPr>
        <w:t xml:space="preserve"> </w:t>
      </w:r>
      <w:r w:rsidRPr="004F1A7B">
        <w:rPr>
          <w:rStyle w:val="Hipervnculo"/>
          <w:rFonts w:asciiTheme="minorHAnsi" w:hAnsiTheme="minorHAnsi"/>
          <w:color w:val="404040" w:themeColor="text1" w:themeTint="BF"/>
          <w:sz w:val="16"/>
          <w:szCs w:val="16"/>
          <w:u w:val="none"/>
          <w:lang w:val="en-US"/>
        </w:rPr>
        <w:t xml:space="preserve">Center for Community Development (CEHPRODEC), in the first week of May 2015 the body of </w:t>
      </w:r>
      <w:r w:rsidRPr="004F1A7B">
        <w:rPr>
          <w:rFonts w:asciiTheme="minorHAnsi" w:hAnsiTheme="minorHAnsi"/>
          <w:color w:val="404040" w:themeColor="text1" w:themeTint="BF"/>
          <w:sz w:val="16"/>
          <w:szCs w:val="16"/>
          <w:lang w:val="en-US"/>
        </w:rPr>
        <w:t xml:space="preserve">Silvestre </w:t>
      </w:r>
      <w:proofErr w:type="spellStart"/>
      <w:r w:rsidRPr="004F1A7B">
        <w:rPr>
          <w:rFonts w:asciiTheme="minorHAnsi" w:hAnsiTheme="minorHAnsi"/>
          <w:color w:val="404040" w:themeColor="text1" w:themeTint="BF"/>
          <w:sz w:val="16"/>
          <w:szCs w:val="16"/>
          <w:lang w:val="en-US"/>
        </w:rPr>
        <w:t>Manueles</w:t>
      </w:r>
      <w:proofErr w:type="spellEnd"/>
      <w:r w:rsidRPr="004F1A7B">
        <w:rPr>
          <w:rFonts w:asciiTheme="minorHAnsi" w:hAnsiTheme="minorHAnsi"/>
          <w:color w:val="404040" w:themeColor="text1" w:themeTint="BF"/>
          <w:sz w:val="16"/>
          <w:szCs w:val="16"/>
          <w:lang w:val="en-US"/>
        </w:rPr>
        <w:t xml:space="preserve"> Gómez –a neighbor of the </w:t>
      </w:r>
      <w:proofErr w:type="spellStart"/>
      <w:r w:rsidRPr="004F1A7B">
        <w:rPr>
          <w:rFonts w:asciiTheme="minorHAnsi" w:hAnsiTheme="minorHAnsi"/>
          <w:color w:val="404040" w:themeColor="text1" w:themeTint="BF"/>
          <w:sz w:val="16"/>
          <w:szCs w:val="16"/>
          <w:lang w:val="en-US"/>
        </w:rPr>
        <w:t>Gualinga</w:t>
      </w:r>
      <w:proofErr w:type="spellEnd"/>
      <w:r w:rsidRPr="004F1A7B">
        <w:rPr>
          <w:rFonts w:asciiTheme="minorHAnsi" w:hAnsiTheme="minorHAnsi"/>
          <w:color w:val="404040" w:themeColor="text1" w:themeTint="BF"/>
          <w:sz w:val="16"/>
          <w:szCs w:val="16"/>
          <w:lang w:val="en-US"/>
        </w:rPr>
        <w:t xml:space="preserve"> Community</w:t>
      </w:r>
      <w:r w:rsidRPr="004F1A7B">
        <w:rPr>
          <w:rStyle w:val="Hipervnculo"/>
          <w:rFonts w:asciiTheme="minorHAnsi" w:hAnsiTheme="minorHAnsi"/>
          <w:color w:val="404040" w:themeColor="text1" w:themeTint="BF"/>
          <w:sz w:val="16"/>
          <w:szCs w:val="16"/>
          <w:u w:val="none"/>
          <w:lang w:val="en-US"/>
        </w:rPr>
        <w:t xml:space="preserve"> in the municipality of Santa Elena— </w:t>
      </w:r>
      <w:r w:rsidRPr="004F1A7B">
        <w:rPr>
          <w:rFonts w:asciiTheme="minorHAnsi" w:hAnsiTheme="minorHAnsi"/>
          <w:color w:val="404040" w:themeColor="text1" w:themeTint="BF"/>
          <w:sz w:val="16"/>
          <w:szCs w:val="16"/>
          <w:lang w:val="en-US"/>
        </w:rPr>
        <w:t>was found</w:t>
      </w:r>
      <w:r w:rsidRPr="004F1A7B">
        <w:rPr>
          <w:rStyle w:val="Hipervnculo"/>
          <w:rFonts w:asciiTheme="minorHAnsi" w:hAnsiTheme="minorHAnsi"/>
          <w:color w:val="404040" w:themeColor="text1" w:themeTint="BF"/>
          <w:sz w:val="16"/>
          <w:szCs w:val="16"/>
          <w:u w:val="none"/>
          <w:lang w:val="en-US"/>
        </w:rPr>
        <w:t xml:space="preserve"> at the banks of the river </w:t>
      </w:r>
      <w:proofErr w:type="spellStart"/>
      <w:r w:rsidRPr="004F1A7B">
        <w:rPr>
          <w:rStyle w:val="Hipervnculo"/>
          <w:rFonts w:asciiTheme="minorHAnsi" w:hAnsiTheme="minorHAnsi"/>
          <w:color w:val="404040" w:themeColor="text1" w:themeTint="BF"/>
          <w:sz w:val="16"/>
          <w:szCs w:val="16"/>
          <w:u w:val="none"/>
          <w:lang w:val="en-US"/>
        </w:rPr>
        <w:t>Chinacla</w:t>
      </w:r>
      <w:proofErr w:type="spellEnd"/>
      <w:r w:rsidRPr="004F1A7B">
        <w:rPr>
          <w:rStyle w:val="Hipervnculo"/>
          <w:rFonts w:asciiTheme="minorHAnsi" w:hAnsiTheme="minorHAnsi"/>
          <w:color w:val="404040" w:themeColor="text1" w:themeTint="BF"/>
          <w:sz w:val="16"/>
          <w:szCs w:val="16"/>
          <w:u w:val="none"/>
          <w:lang w:val="en-US"/>
        </w:rPr>
        <w:t xml:space="preserve">. According to information received, there had been be a conflict between indigenous leaders and a company regarding the construction of a hydroelectric project on their lands. CEHPRODEC, </w:t>
      </w:r>
      <w:r w:rsidRPr="004F1A7B">
        <w:rPr>
          <w:rStyle w:val="Hipervnculo"/>
          <w:rFonts w:asciiTheme="minorHAnsi" w:hAnsiTheme="minorHAnsi"/>
          <w:i/>
          <w:color w:val="404040" w:themeColor="text1" w:themeTint="BF"/>
          <w:sz w:val="16"/>
          <w:szCs w:val="16"/>
          <w:u w:val="none"/>
          <w:lang w:val="en-US"/>
        </w:rPr>
        <w:t xml:space="preserve">Complaint before the Prosecutor for Ethnic Groups regarding the brutal murder of indigenous person on the banks of the River </w:t>
      </w:r>
      <w:proofErr w:type="spellStart"/>
      <w:r w:rsidRPr="004F1A7B">
        <w:rPr>
          <w:rStyle w:val="Hipervnculo"/>
          <w:rFonts w:asciiTheme="minorHAnsi" w:hAnsiTheme="minorHAnsi"/>
          <w:i/>
          <w:color w:val="404040" w:themeColor="text1" w:themeTint="BF"/>
          <w:sz w:val="16"/>
          <w:szCs w:val="16"/>
          <w:u w:val="none"/>
          <w:lang w:val="en-US"/>
        </w:rPr>
        <w:t>Chinacla</w:t>
      </w:r>
      <w:proofErr w:type="spellEnd"/>
      <w:r w:rsidRPr="004F1A7B">
        <w:rPr>
          <w:rStyle w:val="Hipervnculo"/>
          <w:rFonts w:asciiTheme="minorHAnsi" w:hAnsiTheme="minorHAnsi"/>
          <w:color w:val="404040" w:themeColor="text1" w:themeTint="BF"/>
          <w:sz w:val="16"/>
          <w:szCs w:val="16"/>
          <w:u w:val="none"/>
          <w:lang w:val="en-US"/>
        </w:rPr>
        <w:t xml:space="preserve">, June 8, 2015. Available at: </w:t>
      </w:r>
      <w:hyperlink r:id="rId15" w:history="1">
        <w:r w:rsidRPr="004F1A7B">
          <w:rPr>
            <w:rStyle w:val="Hipervnculo"/>
            <w:rFonts w:asciiTheme="minorHAnsi" w:hAnsiTheme="minorHAnsi"/>
            <w:color w:val="404040" w:themeColor="text1" w:themeTint="BF"/>
            <w:sz w:val="16"/>
            <w:szCs w:val="16"/>
            <w:u w:color="A6A6A6" w:themeColor="background1" w:themeShade="A6"/>
            <w:lang w:val="en-US"/>
          </w:rPr>
          <w:t>http://www.cehprodec.org/index.php/noticias/40-denuncia-en-la-fiscalia-de-las-etnias-el-brutal-asesinato-de-indigena-en-las-riberas-del-rio-chinacla</w:t>
        </w:r>
      </w:hyperlink>
      <w:r w:rsidRPr="004F1A7B">
        <w:rPr>
          <w:rStyle w:val="Hipervnculo"/>
          <w:rFonts w:asciiTheme="minorHAnsi" w:hAnsiTheme="minorHAnsi"/>
          <w:color w:val="404040" w:themeColor="text1" w:themeTint="BF"/>
          <w:sz w:val="16"/>
          <w:szCs w:val="16"/>
          <w:u w:val="none"/>
          <w:lang w:val="en-US"/>
        </w:rPr>
        <w:t xml:space="preserve">. In that same month, on May 20, 2015, </w:t>
      </w:r>
      <w:proofErr w:type="spellStart"/>
      <w:r w:rsidRPr="004F1A7B">
        <w:rPr>
          <w:rFonts w:asciiTheme="minorHAnsi" w:hAnsiTheme="minorHAnsi"/>
          <w:color w:val="404040" w:themeColor="text1" w:themeTint="BF"/>
          <w:sz w:val="16"/>
          <w:szCs w:val="16"/>
          <w:lang w:val="en-US"/>
        </w:rPr>
        <w:t>Moisés</w:t>
      </w:r>
      <w:proofErr w:type="spellEnd"/>
      <w:r w:rsidRPr="004F1A7B">
        <w:rPr>
          <w:rFonts w:asciiTheme="minorHAnsi" w:hAnsiTheme="minorHAnsi"/>
          <w:color w:val="404040" w:themeColor="text1" w:themeTint="BF"/>
          <w:sz w:val="16"/>
          <w:szCs w:val="16"/>
          <w:lang w:val="en-US"/>
        </w:rPr>
        <w:t xml:space="preserve"> </w:t>
      </w:r>
      <w:proofErr w:type="spellStart"/>
      <w:r w:rsidRPr="004F1A7B">
        <w:rPr>
          <w:rFonts w:asciiTheme="minorHAnsi" w:hAnsiTheme="minorHAnsi"/>
          <w:color w:val="404040" w:themeColor="text1" w:themeTint="BF"/>
          <w:sz w:val="16"/>
          <w:szCs w:val="16"/>
          <w:lang w:val="en-US"/>
        </w:rPr>
        <w:t>Durón</w:t>
      </w:r>
      <w:proofErr w:type="spellEnd"/>
      <w:r w:rsidRPr="004F1A7B">
        <w:rPr>
          <w:rFonts w:asciiTheme="minorHAnsi" w:hAnsiTheme="minorHAnsi"/>
          <w:color w:val="404040" w:themeColor="text1" w:themeTint="BF"/>
          <w:sz w:val="16"/>
          <w:szCs w:val="16"/>
          <w:lang w:val="en-US"/>
        </w:rPr>
        <w:t xml:space="preserve"> Sánchez</w:t>
      </w:r>
      <w:r w:rsidRPr="004F1A7B">
        <w:rPr>
          <w:rStyle w:val="Hipervnculo"/>
          <w:rFonts w:asciiTheme="minorHAnsi" w:hAnsiTheme="minorHAnsi"/>
          <w:color w:val="404040" w:themeColor="text1" w:themeTint="BF"/>
          <w:sz w:val="16"/>
          <w:szCs w:val="16"/>
          <w:u w:val="none"/>
          <w:lang w:val="en-US"/>
        </w:rPr>
        <w:t xml:space="preserve"> –an indigenous leader and member of COPINH, who led the recovery of lands for the community of </w:t>
      </w:r>
      <w:proofErr w:type="spellStart"/>
      <w:r w:rsidRPr="004F1A7B">
        <w:rPr>
          <w:rStyle w:val="Hipervnculo"/>
          <w:rFonts w:asciiTheme="minorHAnsi" w:hAnsiTheme="minorHAnsi"/>
          <w:color w:val="404040" w:themeColor="text1" w:themeTint="BF"/>
          <w:sz w:val="16"/>
          <w:szCs w:val="16"/>
          <w:u w:val="none"/>
          <w:lang w:val="en-US"/>
        </w:rPr>
        <w:t>Somolagua</w:t>
      </w:r>
      <w:proofErr w:type="spellEnd"/>
      <w:r w:rsidRPr="004F1A7B">
        <w:rPr>
          <w:rStyle w:val="Hipervnculo"/>
          <w:rFonts w:asciiTheme="minorHAnsi" w:hAnsiTheme="minorHAnsi"/>
          <w:color w:val="404040" w:themeColor="text1" w:themeTint="BF"/>
          <w:sz w:val="16"/>
          <w:szCs w:val="16"/>
          <w:u w:val="none"/>
          <w:lang w:val="en-US"/>
        </w:rPr>
        <w:t xml:space="preserve">, San Juan, Municipality of </w:t>
      </w:r>
      <w:proofErr w:type="spellStart"/>
      <w:r w:rsidRPr="004F1A7B">
        <w:rPr>
          <w:rStyle w:val="Hipervnculo"/>
          <w:rFonts w:asciiTheme="minorHAnsi" w:hAnsiTheme="minorHAnsi"/>
          <w:color w:val="404040" w:themeColor="text1" w:themeTint="BF"/>
          <w:sz w:val="16"/>
          <w:szCs w:val="16"/>
          <w:u w:val="none"/>
          <w:lang w:val="en-US"/>
        </w:rPr>
        <w:t>Ceguaca</w:t>
      </w:r>
      <w:proofErr w:type="spellEnd"/>
      <w:r w:rsidRPr="004F1A7B">
        <w:rPr>
          <w:rStyle w:val="Hipervnculo"/>
          <w:rFonts w:asciiTheme="minorHAnsi" w:hAnsiTheme="minorHAnsi"/>
          <w:color w:val="404040" w:themeColor="text1" w:themeTint="BF"/>
          <w:sz w:val="16"/>
          <w:szCs w:val="16"/>
          <w:u w:val="none"/>
          <w:lang w:val="en-US"/>
        </w:rPr>
        <w:t xml:space="preserve">, Department of </w:t>
      </w:r>
      <w:r w:rsidRPr="004F1A7B">
        <w:rPr>
          <w:rFonts w:asciiTheme="minorHAnsi" w:hAnsiTheme="minorHAnsi"/>
          <w:color w:val="404040" w:themeColor="text1" w:themeTint="BF"/>
          <w:sz w:val="16"/>
          <w:szCs w:val="16"/>
          <w:lang w:val="en-US"/>
        </w:rPr>
        <w:t>Santa Bárbara— was murdered</w:t>
      </w:r>
      <w:r w:rsidRPr="004F1A7B">
        <w:rPr>
          <w:rStyle w:val="Hipervnculo"/>
          <w:rFonts w:asciiTheme="minorHAnsi" w:hAnsiTheme="minorHAnsi"/>
          <w:color w:val="404040" w:themeColor="text1" w:themeTint="BF"/>
          <w:sz w:val="16"/>
          <w:szCs w:val="16"/>
          <w:u w:val="none"/>
          <w:lang w:val="en-US"/>
        </w:rPr>
        <w:t xml:space="preserve">. COPINH, </w:t>
      </w:r>
      <w:proofErr w:type="spellStart"/>
      <w:r w:rsidRPr="004F1A7B">
        <w:rPr>
          <w:rFonts w:asciiTheme="minorHAnsi" w:hAnsiTheme="minorHAnsi"/>
          <w:i/>
          <w:color w:val="404040" w:themeColor="text1" w:themeTint="BF"/>
          <w:sz w:val="16"/>
          <w:szCs w:val="16"/>
          <w:lang w:val="en-US"/>
        </w:rPr>
        <w:t>Moisés</w:t>
      </w:r>
      <w:proofErr w:type="spellEnd"/>
      <w:r w:rsidRPr="004F1A7B">
        <w:rPr>
          <w:rFonts w:asciiTheme="minorHAnsi" w:hAnsiTheme="minorHAnsi"/>
          <w:i/>
          <w:color w:val="404040" w:themeColor="text1" w:themeTint="BF"/>
          <w:sz w:val="16"/>
          <w:szCs w:val="16"/>
          <w:lang w:val="en-US"/>
        </w:rPr>
        <w:t xml:space="preserve"> </w:t>
      </w:r>
      <w:proofErr w:type="spellStart"/>
      <w:r w:rsidRPr="004F1A7B">
        <w:rPr>
          <w:rFonts w:asciiTheme="minorHAnsi" w:hAnsiTheme="minorHAnsi"/>
          <w:i/>
          <w:color w:val="404040" w:themeColor="text1" w:themeTint="BF"/>
          <w:sz w:val="16"/>
          <w:szCs w:val="16"/>
          <w:lang w:val="en-US"/>
        </w:rPr>
        <w:t>Durón</w:t>
      </w:r>
      <w:proofErr w:type="spellEnd"/>
      <w:r w:rsidRPr="004F1A7B">
        <w:rPr>
          <w:rFonts w:asciiTheme="minorHAnsi" w:hAnsiTheme="minorHAnsi"/>
          <w:i/>
          <w:color w:val="404040" w:themeColor="text1" w:themeTint="BF"/>
          <w:sz w:val="16"/>
          <w:szCs w:val="16"/>
          <w:lang w:val="en-US"/>
        </w:rPr>
        <w:t xml:space="preserve"> Sánchez murdered</w:t>
      </w:r>
      <w:r w:rsidRPr="004F1A7B">
        <w:rPr>
          <w:rStyle w:val="Hipervnculo"/>
          <w:rFonts w:asciiTheme="minorHAnsi" w:hAnsiTheme="minorHAnsi"/>
          <w:color w:val="404040" w:themeColor="text1" w:themeTint="BF"/>
          <w:sz w:val="16"/>
          <w:szCs w:val="16"/>
          <w:u w:val="none"/>
          <w:lang w:val="en-US"/>
        </w:rPr>
        <w:t xml:space="preserve">, a COPINH community leader in </w:t>
      </w:r>
      <w:r w:rsidRPr="004F1A7B">
        <w:rPr>
          <w:rFonts w:asciiTheme="minorHAnsi" w:hAnsiTheme="minorHAnsi"/>
          <w:i/>
          <w:color w:val="404040" w:themeColor="text1" w:themeTint="BF"/>
          <w:sz w:val="16"/>
          <w:szCs w:val="16"/>
          <w:lang w:val="en-US"/>
        </w:rPr>
        <w:t>Santa Bárbara</w:t>
      </w:r>
      <w:r w:rsidRPr="004F1A7B">
        <w:rPr>
          <w:rStyle w:val="Hipervnculo"/>
          <w:rFonts w:asciiTheme="minorHAnsi" w:hAnsiTheme="minorHAnsi"/>
          <w:color w:val="404040" w:themeColor="text1" w:themeTint="BF"/>
          <w:sz w:val="16"/>
          <w:szCs w:val="16"/>
          <w:u w:val="none"/>
          <w:lang w:val="en-US"/>
        </w:rPr>
        <w:t xml:space="preserve">! May 20, 2015. Available at: </w:t>
      </w:r>
      <w:hyperlink r:id="rId16" w:history="1">
        <w:r w:rsidRPr="004F1A7B">
          <w:rPr>
            <w:rStyle w:val="Hipervnculo"/>
            <w:rFonts w:asciiTheme="minorHAnsi" w:hAnsiTheme="minorHAnsi"/>
            <w:color w:val="404040" w:themeColor="text1" w:themeTint="BF"/>
            <w:sz w:val="16"/>
            <w:szCs w:val="16"/>
            <w:u w:color="A6A6A6" w:themeColor="background1" w:themeShade="A6"/>
            <w:lang w:val="en-US"/>
          </w:rPr>
          <w:t>http://www.copinh.org/article/asesinan-al-companero-moises-duron-sanchez -leader-c/</w:t>
        </w:r>
      </w:hyperlink>
      <w:r w:rsidRPr="004F1A7B">
        <w:rPr>
          <w:rStyle w:val="Hipervnculo"/>
          <w:rFonts w:asciiTheme="minorHAnsi" w:hAnsiTheme="minorHAnsi"/>
          <w:color w:val="404040" w:themeColor="text1" w:themeTint="BF"/>
          <w:sz w:val="16"/>
          <w:szCs w:val="16"/>
          <w:u w:val="none"/>
          <w:lang w:val="en-US"/>
        </w:rPr>
        <w:t xml:space="preserve">; Project Counselling Service, </w:t>
      </w:r>
      <w:r w:rsidRPr="004F1A7B">
        <w:rPr>
          <w:rStyle w:val="Hipervnculo"/>
          <w:rFonts w:asciiTheme="minorHAnsi" w:hAnsiTheme="minorHAnsi"/>
          <w:i/>
          <w:color w:val="404040" w:themeColor="text1" w:themeTint="BF"/>
          <w:sz w:val="16"/>
          <w:szCs w:val="16"/>
          <w:u w:val="none"/>
          <w:lang w:val="en-US"/>
        </w:rPr>
        <w:t>Honduras gunmen kill community leader</w:t>
      </w:r>
      <w:r w:rsidRPr="004F1A7B">
        <w:rPr>
          <w:rStyle w:val="Hipervnculo"/>
          <w:rFonts w:asciiTheme="minorHAnsi" w:hAnsiTheme="minorHAnsi"/>
          <w:color w:val="404040" w:themeColor="text1" w:themeTint="BF"/>
          <w:sz w:val="16"/>
          <w:szCs w:val="16"/>
          <w:u w:val="none"/>
          <w:lang w:val="en-US"/>
        </w:rPr>
        <w:t xml:space="preserve">, May 25, 2015. Available at: </w:t>
      </w:r>
      <w:hyperlink r:id="rId17" w:history="1">
        <w:r w:rsidRPr="004F1A7B">
          <w:rPr>
            <w:rStyle w:val="Hipervnculo"/>
            <w:rFonts w:asciiTheme="minorHAnsi" w:hAnsiTheme="minorHAnsi"/>
            <w:color w:val="404040" w:themeColor="text1" w:themeTint="BF"/>
            <w:sz w:val="16"/>
            <w:szCs w:val="16"/>
            <w:u w:color="A6A6A6" w:themeColor="background1" w:themeShade="A6"/>
            <w:lang w:val="en-US"/>
          </w:rPr>
          <w:t>http://www.pcslatin.org/portal/index.php/component/content/article/152-sala-de-prensa/3072-honduras-sicarios-asesinan-a-lider-comunitario?temid=508%20</w:t>
        </w:r>
      </w:hyperlink>
      <w:r w:rsidRPr="004F1A7B">
        <w:rPr>
          <w:rStyle w:val="Hipervnculo"/>
          <w:rFonts w:asciiTheme="minorHAnsi" w:hAnsiTheme="minorHAnsi"/>
          <w:color w:val="404040" w:themeColor="text1" w:themeTint="BF"/>
          <w:sz w:val="16"/>
          <w:szCs w:val="16"/>
          <w:u w:val="none"/>
          <w:lang w:val="en-US"/>
        </w:rPr>
        <w:t xml:space="preserve">; Protection International, </w:t>
      </w:r>
      <w:r w:rsidRPr="004F1A7B">
        <w:rPr>
          <w:rStyle w:val="Hipervnculo"/>
          <w:rFonts w:asciiTheme="minorHAnsi" w:hAnsiTheme="minorHAnsi"/>
          <w:i/>
          <w:color w:val="404040" w:themeColor="text1" w:themeTint="BF"/>
          <w:sz w:val="16"/>
          <w:szCs w:val="16"/>
          <w:u w:val="none"/>
          <w:lang w:val="en-US"/>
        </w:rPr>
        <w:t>Honduras: Assassination of indigenous community leader Moses Duron Sanchez</w:t>
      </w:r>
      <w:r w:rsidRPr="004F1A7B">
        <w:rPr>
          <w:rStyle w:val="Hipervnculo"/>
          <w:rFonts w:asciiTheme="minorHAnsi" w:hAnsiTheme="minorHAnsi"/>
          <w:color w:val="404040" w:themeColor="text1" w:themeTint="BF"/>
          <w:sz w:val="16"/>
          <w:szCs w:val="16"/>
          <w:u w:val="none"/>
          <w:lang w:val="en-US"/>
        </w:rPr>
        <w:t xml:space="preserve">, May 22, 2015. Available at: </w:t>
      </w:r>
      <w:hyperlink r:id="rId18" w:history="1">
        <w:r w:rsidRPr="004F1A7B">
          <w:rPr>
            <w:rStyle w:val="Hipervnculo"/>
            <w:rFonts w:asciiTheme="minorHAnsi" w:hAnsiTheme="minorHAnsi"/>
            <w:color w:val="404040" w:themeColor="text1" w:themeTint="BF"/>
            <w:sz w:val="16"/>
            <w:szCs w:val="16"/>
            <w:u w:color="A6A6A6" w:themeColor="background1" w:themeShade="A6"/>
            <w:lang w:val="en-US"/>
          </w:rPr>
          <w:t>http://protect–ionline.org/es/2015/05/22/honduras-asesinato-de-lider-comunitario-indigena-moises-duron-sanchez/</w:t>
        </w:r>
      </w:hyperlink>
      <w:r w:rsidRPr="004F1A7B">
        <w:rPr>
          <w:rStyle w:val="Hipervnculo"/>
          <w:rFonts w:asciiTheme="minorHAnsi" w:hAnsiTheme="minorHAnsi"/>
          <w:color w:val="404040" w:themeColor="text1" w:themeTint="BF"/>
          <w:sz w:val="16"/>
          <w:szCs w:val="16"/>
          <w:u w:val="none"/>
          <w:lang w:val="en-US"/>
        </w:rPr>
        <w:t xml:space="preserve">. On January 5, 2015, the body of indigenous human rights defender </w:t>
      </w:r>
      <w:r w:rsidRPr="004F1A7B">
        <w:rPr>
          <w:rFonts w:asciiTheme="minorHAnsi" w:hAnsiTheme="minorHAnsi"/>
          <w:color w:val="404040" w:themeColor="text1" w:themeTint="BF"/>
          <w:sz w:val="16"/>
          <w:szCs w:val="16"/>
          <w:lang w:val="en-US"/>
        </w:rPr>
        <w:t>Juan Francisco Martínez</w:t>
      </w:r>
      <w:r w:rsidRPr="004F1A7B">
        <w:rPr>
          <w:rStyle w:val="Hipervnculo"/>
          <w:rFonts w:asciiTheme="minorHAnsi" w:hAnsiTheme="minorHAnsi"/>
          <w:color w:val="404040" w:themeColor="text1" w:themeTint="BF"/>
          <w:sz w:val="16"/>
          <w:szCs w:val="16"/>
          <w:u w:val="none"/>
          <w:lang w:val="en-US"/>
        </w:rPr>
        <w:t xml:space="preserve"> was found in the community of </w:t>
      </w:r>
      <w:proofErr w:type="spellStart"/>
      <w:r w:rsidRPr="004F1A7B">
        <w:rPr>
          <w:rStyle w:val="Hipervnculo"/>
          <w:rFonts w:asciiTheme="minorHAnsi" w:hAnsiTheme="minorHAnsi"/>
          <w:color w:val="404040" w:themeColor="text1" w:themeTint="BF"/>
          <w:sz w:val="16"/>
          <w:szCs w:val="16"/>
          <w:u w:val="none"/>
          <w:lang w:val="en-US"/>
        </w:rPr>
        <w:t>Tapuyman</w:t>
      </w:r>
      <w:proofErr w:type="spellEnd"/>
      <w:r w:rsidRPr="004F1A7B">
        <w:rPr>
          <w:rStyle w:val="Hipervnculo"/>
          <w:rFonts w:asciiTheme="minorHAnsi" w:hAnsiTheme="minorHAnsi"/>
          <w:color w:val="404040" w:themeColor="text1" w:themeTint="BF"/>
          <w:sz w:val="16"/>
          <w:szCs w:val="16"/>
          <w:u w:val="none"/>
          <w:lang w:val="en-US"/>
        </w:rPr>
        <w:t xml:space="preserve">, Municipality of Santa Elena de La Paz, with his hands bound, signs of torture and multiple stab wounds. </w:t>
      </w:r>
      <w:r w:rsidRPr="004F1A7B">
        <w:rPr>
          <w:rFonts w:asciiTheme="minorHAnsi" w:hAnsiTheme="minorHAnsi"/>
          <w:color w:val="404040" w:themeColor="text1" w:themeTint="BF"/>
          <w:sz w:val="16"/>
          <w:szCs w:val="16"/>
          <w:lang w:val="en-US"/>
        </w:rPr>
        <w:t>Juan Francisco Martínez</w:t>
      </w:r>
      <w:r w:rsidRPr="004F1A7B">
        <w:rPr>
          <w:rStyle w:val="Hipervnculo"/>
          <w:rFonts w:asciiTheme="minorHAnsi" w:hAnsiTheme="minorHAnsi"/>
          <w:color w:val="404040" w:themeColor="text1" w:themeTint="BF"/>
          <w:sz w:val="16"/>
          <w:szCs w:val="16"/>
          <w:u w:val="none"/>
          <w:lang w:val="en-US"/>
        </w:rPr>
        <w:t xml:space="preserve"> was a member of MILPAH and worked for the rights of water, land and territory of the </w:t>
      </w:r>
      <w:proofErr w:type="spellStart"/>
      <w:r w:rsidRPr="004F1A7B">
        <w:rPr>
          <w:rStyle w:val="Hipervnculo"/>
          <w:rFonts w:asciiTheme="minorHAnsi" w:hAnsiTheme="minorHAnsi"/>
          <w:color w:val="404040" w:themeColor="text1" w:themeTint="BF"/>
          <w:sz w:val="16"/>
          <w:szCs w:val="16"/>
          <w:u w:val="none"/>
          <w:lang w:val="en-US"/>
        </w:rPr>
        <w:t>Lenca</w:t>
      </w:r>
      <w:proofErr w:type="spellEnd"/>
      <w:r w:rsidRPr="004F1A7B">
        <w:rPr>
          <w:rStyle w:val="Hipervnculo"/>
          <w:rFonts w:asciiTheme="minorHAnsi" w:hAnsiTheme="minorHAnsi"/>
          <w:color w:val="404040" w:themeColor="text1" w:themeTint="BF"/>
          <w:sz w:val="16"/>
          <w:szCs w:val="16"/>
          <w:u w:val="none"/>
          <w:lang w:val="en-US"/>
        </w:rPr>
        <w:t xml:space="preserve"> indigenous community. Front Line Defenders, Honduras - </w:t>
      </w:r>
      <w:r w:rsidRPr="004F1A7B">
        <w:rPr>
          <w:rStyle w:val="Hipervnculo"/>
          <w:rFonts w:asciiTheme="minorHAnsi" w:hAnsiTheme="minorHAnsi"/>
          <w:i/>
          <w:color w:val="404040" w:themeColor="text1" w:themeTint="BF"/>
          <w:sz w:val="16"/>
          <w:szCs w:val="16"/>
          <w:u w:val="none"/>
          <w:lang w:val="en-US"/>
        </w:rPr>
        <w:t xml:space="preserve">Torture and killing of human rights advocate </w:t>
      </w:r>
      <w:r w:rsidRPr="004F1A7B">
        <w:rPr>
          <w:rFonts w:asciiTheme="minorHAnsi" w:hAnsiTheme="minorHAnsi"/>
          <w:i/>
          <w:color w:val="404040" w:themeColor="text1" w:themeTint="BF"/>
          <w:sz w:val="16"/>
          <w:szCs w:val="16"/>
          <w:lang w:val="en-US"/>
        </w:rPr>
        <w:t>Juan Francisco Martínez</w:t>
      </w:r>
      <w:r w:rsidRPr="004F1A7B">
        <w:rPr>
          <w:rStyle w:val="Hipervnculo"/>
          <w:rFonts w:asciiTheme="minorHAnsi" w:hAnsiTheme="minorHAnsi"/>
          <w:color w:val="404040" w:themeColor="text1" w:themeTint="BF"/>
          <w:sz w:val="16"/>
          <w:szCs w:val="16"/>
          <w:u w:val="none"/>
          <w:lang w:val="en-US"/>
        </w:rPr>
        <w:t xml:space="preserve">, January 16, 2015. Available at: </w:t>
      </w:r>
      <w:hyperlink r:id="rId19" w:history="1">
        <w:r w:rsidRPr="004F1A7B">
          <w:rPr>
            <w:rStyle w:val="Hipervnculo"/>
            <w:rFonts w:asciiTheme="minorHAnsi" w:hAnsiTheme="minorHAnsi"/>
            <w:color w:val="404040" w:themeColor="text1" w:themeTint="BF"/>
            <w:sz w:val="16"/>
            <w:szCs w:val="16"/>
            <w:u w:color="A6A6A6" w:themeColor="background1" w:themeShade="A6"/>
            <w:lang w:val="en-US"/>
          </w:rPr>
          <w:t>https://www.frontline–defenders.org/node/27936</w:t>
        </w:r>
      </w:hyperlink>
      <w:r w:rsidRPr="004F1A7B">
        <w:rPr>
          <w:rStyle w:val="Hipervnculo"/>
          <w:rFonts w:asciiTheme="minorHAnsi" w:hAnsiTheme="minorHAnsi"/>
          <w:color w:val="404040" w:themeColor="text1" w:themeTint="BF"/>
          <w:sz w:val="16"/>
          <w:szCs w:val="16"/>
          <w:u w:val="none"/>
          <w:lang w:val="en-US"/>
        </w:rPr>
        <w:t xml:space="preserve">, p. 18. </w:t>
      </w:r>
    </w:p>
  </w:footnote>
  <w:footnote w:id="18">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Style w:val="Hipervnculo"/>
          <w:rFonts w:asciiTheme="minorHAnsi" w:hAnsiTheme="minorHAnsi"/>
          <w:color w:val="404040" w:themeColor="text1" w:themeTint="BF"/>
          <w:sz w:val="16"/>
          <w:szCs w:val="16"/>
          <w:u w:val="none"/>
          <w:lang w:val="en-US"/>
        </w:rPr>
        <w:t xml:space="preserve">IACHR </w:t>
      </w:r>
      <w:r w:rsidRPr="004F1A7B">
        <w:rPr>
          <w:rStyle w:val="Hipervnculo"/>
          <w:rFonts w:asciiTheme="minorHAnsi" w:hAnsiTheme="minorHAnsi"/>
          <w:i/>
          <w:color w:val="404040" w:themeColor="text1" w:themeTint="BF"/>
          <w:sz w:val="16"/>
          <w:szCs w:val="16"/>
          <w:u w:val="none"/>
          <w:lang w:val="en-US"/>
        </w:rPr>
        <w:t xml:space="preserve">Condemns Murder of </w:t>
      </w:r>
      <w:proofErr w:type="spellStart"/>
      <w:r w:rsidRPr="004F1A7B">
        <w:rPr>
          <w:rStyle w:val="Hipervnculo"/>
          <w:rFonts w:asciiTheme="minorHAnsi" w:hAnsiTheme="minorHAnsi"/>
          <w:i/>
          <w:color w:val="404040" w:themeColor="text1" w:themeTint="BF"/>
          <w:sz w:val="16"/>
          <w:szCs w:val="16"/>
          <w:u w:val="none"/>
          <w:lang w:val="en-US"/>
        </w:rPr>
        <w:t>Lenca</w:t>
      </w:r>
      <w:proofErr w:type="spellEnd"/>
      <w:r w:rsidRPr="004F1A7B">
        <w:rPr>
          <w:rStyle w:val="Hipervnculo"/>
          <w:rFonts w:asciiTheme="minorHAnsi" w:hAnsiTheme="minorHAnsi"/>
          <w:i/>
          <w:color w:val="404040" w:themeColor="text1" w:themeTint="BF"/>
          <w:sz w:val="16"/>
          <w:szCs w:val="16"/>
          <w:u w:val="none"/>
          <w:lang w:val="en-US"/>
        </w:rPr>
        <w:t xml:space="preserve"> indigenous leader and injury to a child in Honduras operational Army</w:t>
      </w:r>
      <w:r w:rsidRPr="004F1A7B">
        <w:rPr>
          <w:rStyle w:val="Hipervnculo"/>
          <w:rFonts w:asciiTheme="minorHAnsi" w:hAnsiTheme="minorHAnsi"/>
          <w:color w:val="404040" w:themeColor="text1" w:themeTint="BF"/>
          <w:sz w:val="16"/>
          <w:szCs w:val="16"/>
          <w:u w:val="none"/>
          <w:lang w:val="en-US"/>
        </w:rPr>
        <w:t>, Press Release No. 19-2013.</w:t>
      </w:r>
      <w:r w:rsidRPr="004F1A7B">
        <w:rPr>
          <w:rStyle w:val="Hipervnculo"/>
          <w:rFonts w:asciiTheme="minorHAnsi" w:hAnsiTheme="minorHAnsi"/>
          <w:color w:val="404040" w:themeColor="text1" w:themeTint="BF"/>
          <w:sz w:val="16"/>
          <w:szCs w:val="16"/>
          <w:u w:color="A6A6A6" w:themeColor="background1" w:themeShade="A6"/>
          <w:lang w:val="en-US"/>
        </w:rPr>
        <w:t xml:space="preserve"> </w:t>
      </w:r>
      <w:r w:rsidRPr="004F1A7B">
        <w:rPr>
          <w:rStyle w:val="Hipervnculo"/>
          <w:rFonts w:asciiTheme="minorHAnsi" w:hAnsiTheme="minorHAnsi"/>
          <w:color w:val="404040" w:themeColor="text1" w:themeTint="BF"/>
          <w:sz w:val="16"/>
          <w:szCs w:val="16"/>
          <w:u w:val="none"/>
          <w:lang w:val="en-US"/>
        </w:rPr>
        <w:t xml:space="preserve">Available at: </w:t>
      </w:r>
      <w:hyperlink r:id="rId20" w:history="1">
        <w:r w:rsidRPr="004F1A7B">
          <w:rPr>
            <w:rStyle w:val="Hipervnculo"/>
            <w:rFonts w:asciiTheme="minorHAnsi" w:hAnsiTheme="minorHAnsi"/>
            <w:color w:val="404040" w:themeColor="text1" w:themeTint="BF"/>
            <w:sz w:val="16"/>
            <w:szCs w:val="16"/>
            <w:u w:color="A6A6A6" w:themeColor="background1" w:themeShade="A6"/>
            <w:lang w:val="en-US"/>
          </w:rPr>
          <w:t>www.oas.org/en/iachr/</w:t>
        </w:r>
      </w:hyperlink>
      <w:r w:rsidRPr="004F1A7B">
        <w:rPr>
          <w:rStyle w:val="Hipervnculo"/>
          <w:rFonts w:asciiTheme="minorHAnsi" w:hAnsiTheme="minorHAnsi"/>
          <w:color w:val="404040" w:themeColor="text1" w:themeTint="BF"/>
          <w:sz w:val="16"/>
          <w:szCs w:val="16"/>
          <w:u w:color="A6A6A6" w:themeColor="background1" w:themeShade="A6"/>
          <w:lang w:val="en-US"/>
        </w:rPr>
        <w:t>.</w:t>
      </w:r>
      <w:r w:rsidRPr="004F1A7B">
        <w:rPr>
          <w:rStyle w:val="Hipervnculo"/>
          <w:rFonts w:asciiTheme="minorHAnsi" w:hAnsiTheme="minorHAnsi"/>
          <w:color w:val="404040" w:themeColor="text1" w:themeTint="BF"/>
          <w:sz w:val="16"/>
          <w:szCs w:val="16"/>
          <w:u w:val="none"/>
          <w:lang w:val="en-US"/>
        </w:rPr>
        <w:t xml:space="preserve"> </w:t>
      </w:r>
    </w:p>
  </w:footnote>
  <w:footnote w:id="19">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Style w:val="Hipervnculo"/>
          <w:rFonts w:asciiTheme="minorHAnsi" w:hAnsiTheme="minorHAnsi"/>
          <w:color w:val="404040" w:themeColor="text1" w:themeTint="BF"/>
          <w:sz w:val="16"/>
          <w:szCs w:val="16"/>
          <w:u w:val="none"/>
          <w:lang w:val="en-US"/>
        </w:rPr>
        <w:t xml:space="preserve">Front Line Defenders, Honduras: </w:t>
      </w:r>
      <w:r w:rsidRPr="004F1A7B">
        <w:rPr>
          <w:rStyle w:val="Hipervnculo"/>
          <w:rFonts w:asciiTheme="minorHAnsi" w:hAnsiTheme="minorHAnsi"/>
          <w:i/>
          <w:color w:val="404040" w:themeColor="text1" w:themeTint="BF"/>
          <w:sz w:val="16"/>
          <w:szCs w:val="16"/>
          <w:u w:val="none"/>
          <w:lang w:val="en-US"/>
        </w:rPr>
        <w:t xml:space="preserve">Attempted killing of human rights advocate Ms. </w:t>
      </w:r>
      <w:r w:rsidRPr="004F1A7B">
        <w:rPr>
          <w:rFonts w:asciiTheme="minorHAnsi" w:hAnsiTheme="minorHAnsi"/>
          <w:i/>
          <w:color w:val="404040" w:themeColor="text1" w:themeTint="BF"/>
          <w:sz w:val="16"/>
          <w:szCs w:val="16"/>
          <w:lang w:val="en-US"/>
        </w:rPr>
        <w:t>María Santos Domínguez</w:t>
      </w:r>
      <w:r w:rsidRPr="004F1A7B">
        <w:rPr>
          <w:rStyle w:val="Hipervnculo"/>
          <w:rFonts w:asciiTheme="minorHAnsi" w:hAnsiTheme="minorHAnsi"/>
          <w:color w:val="404040" w:themeColor="text1" w:themeTint="BF"/>
          <w:sz w:val="16"/>
          <w:szCs w:val="16"/>
          <w:u w:val="none"/>
          <w:lang w:val="en-US"/>
        </w:rPr>
        <w:t xml:space="preserve">, March 7, 2015. Available at: </w:t>
      </w:r>
      <w:hyperlink r:id="rId21" w:history="1">
        <w:r w:rsidRPr="004F1A7B">
          <w:rPr>
            <w:rStyle w:val="Hipervnculo"/>
            <w:rFonts w:asciiTheme="minorHAnsi" w:hAnsiTheme="minorHAnsi"/>
            <w:color w:val="404040" w:themeColor="text1" w:themeTint="BF"/>
            <w:sz w:val="16"/>
            <w:szCs w:val="16"/>
            <w:u w:color="A6A6A6" w:themeColor="background1" w:themeShade="A6"/>
            <w:lang w:val="en-US"/>
          </w:rPr>
          <w:t>https://www.frontlinedefenders.org/node/25313</w:t>
        </w:r>
      </w:hyperlink>
      <w:r w:rsidRPr="004F1A7B">
        <w:rPr>
          <w:rStyle w:val="Hipervnculo"/>
          <w:rFonts w:asciiTheme="minorHAnsi" w:hAnsiTheme="minorHAnsi"/>
          <w:color w:val="404040" w:themeColor="text1" w:themeTint="BF"/>
          <w:sz w:val="16"/>
          <w:szCs w:val="16"/>
          <w:u w:color="A6A6A6" w:themeColor="background1" w:themeShade="A6"/>
          <w:lang w:val="en-US"/>
        </w:rPr>
        <w:t>.</w:t>
      </w:r>
    </w:p>
  </w:footnote>
  <w:footnote w:id="20">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Fonts w:asciiTheme="minorHAnsi" w:hAnsiTheme="minorHAnsi"/>
          <w:color w:val="404040" w:themeColor="text1" w:themeTint="BF"/>
          <w:sz w:val="16"/>
          <w:szCs w:val="16"/>
          <w:lang w:val="en-US"/>
        </w:rPr>
        <w:t xml:space="preserve"> </w:t>
      </w: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Peace Brigades International – Honduras Project, </w:t>
      </w:r>
      <w:r w:rsidRPr="004F1A7B">
        <w:rPr>
          <w:rFonts w:asciiTheme="minorHAnsi" w:hAnsiTheme="minorHAnsi"/>
          <w:i/>
          <w:color w:val="404040" w:themeColor="text1" w:themeTint="BF"/>
          <w:sz w:val="16"/>
          <w:szCs w:val="16"/>
          <w:lang w:val="en-US"/>
        </w:rPr>
        <w:t>Bulletin PBI Honduras 2,</w:t>
      </w:r>
      <w:r w:rsidRPr="004F1A7B">
        <w:rPr>
          <w:rFonts w:asciiTheme="minorHAnsi" w:hAnsiTheme="minorHAnsi"/>
          <w:color w:val="404040" w:themeColor="text1" w:themeTint="BF"/>
          <w:sz w:val="16"/>
          <w:szCs w:val="16"/>
          <w:lang w:val="en-US"/>
        </w:rPr>
        <w:t xml:space="preserve"> January 2015, p. 28. Available at: </w:t>
      </w:r>
      <w:hyperlink r:id="rId22" w:history="1">
        <w:r w:rsidRPr="004F1A7B">
          <w:rPr>
            <w:rStyle w:val="Hipervnculo"/>
            <w:rFonts w:asciiTheme="minorHAnsi" w:hAnsiTheme="minorHAnsi"/>
            <w:color w:val="404040" w:themeColor="text1" w:themeTint="BF"/>
            <w:sz w:val="16"/>
            <w:szCs w:val="16"/>
            <w:u w:color="A6A6A6" w:themeColor="background1" w:themeShade="A6"/>
            <w:lang w:val="en-US"/>
          </w:rPr>
          <w:t>http://www.pbi-honduras.org/fileadmin/user_files/projects/honduras/Publications/B02-16-SPA-rev.pdf</w:t>
        </w:r>
      </w:hyperlink>
      <w:r w:rsidRPr="004F1A7B">
        <w:rPr>
          <w:rStyle w:val="Hipervnculo"/>
          <w:rFonts w:asciiTheme="minorHAnsi" w:hAnsiTheme="minorHAnsi"/>
          <w:color w:val="404040" w:themeColor="text1" w:themeTint="BF"/>
          <w:sz w:val="16"/>
          <w:szCs w:val="16"/>
          <w:u w:color="A6A6A6" w:themeColor="background1" w:themeShade="A6"/>
          <w:lang w:val="en-US"/>
        </w:rPr>
        <w:t>.</w:t>
      </w:r>
      <w:r w:rsidRPr="004F1A7B">
        <w:rPr>
          <w:rFonts w:asciiTheme="minorHAnsi" w:hAnsiTheme="minorHAnsi"/>
          <w:color w:val="404040" w:themeColor="text1" w:themeTint="BF"/>
          <w:sz w:val="16"/>
          <w:szCs w:val="16"/>
          <w:lang w:val="en-US"/>
        </w:rPr>
        <w:t xml:space="preserve"> </w:t>
      </w:r>
    </w:p>
  </w:footnote>
  <w:footnote w:id="21">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cs="Arial"/>
          <w:color w:val="404040" w:themeColor="text1" w:themeTint="BF"/>
          <w:sz w:val="16"/>
          <w:szCs w:val="16"/>
          <w:lang w:val="en-US"/>
        </w:rPr>
        <w:t xml:space="preserve">IACHR. </w:t>
      </w:r>
      <w:r w:rsidRPr="00CB2D48">
        <w:rPr>
          <w:rFonts w:asciiTheme="minorHAnsi" w:hAnsiTheme="minorHAnsi" w:cs="Arial"/>
          <w:i/>
          <w:color w:val="404040" w:themeColor="text1" w:themeTint="BF"/>
          <w:sz w:val="16"/>
          <w:szCs w:val="16"/>
          <w:lang w:val="en-US"/>
        </w:rPr>
        <w:t xml:space="preserve">Second Report </w:t>
      </w:r>
      <w:proofErr w:type="gramStart"/>
      <w:r w:rsidRPr="00CB2D48">
        <w:rPr>
          <w:rFonts w:asciiTheme="minorHAnsi" w:hAnsiTheme="minorHAnsi" w:cs="Arial"/>
          <w:i/>
          <w:color w:val="404040" w:themeColor="text1" w:themeTint="BF"/>
          <w:sz w:val="16"/>
          <w:szCs w:val="16"/>
          <w:lang w:val="en-US"/>
        </w:rPr>
        <w:t>on the Situation of</w:t>
      </w:r>
      <w:proofErr w:type="gramEnd"/>
      <w:r w:rsidRPr="00CB2D48">
        <w:rPr>
          <w:rFonts w:asciiTheme="minorHAnsi" w:hAnsiTheme="minorHAnsi" w:cs="Arial"/>
          <w:i/>
          <w:color w:val="404040" w:themeColor="text1" w:themeTint="BF"/>
          <w:sz w:val="16"/>
          <w:szCs w:val="16"/>
          <w:lang w:val="en-US"/>
        </w:rPr>
        <w:t xml:space="preserve"> Human Rights Defenders in the Americas</w:t>
      </w:r>
      <w:r w:rsidRPr="004F1A7B">
        <w:rPr>
          <w:rFonts w:asciiTheme="minorHAnsi" w:hAnsiTheme="minorHAnsi" w:cs="Arial"/>
          <w:i/>
          <w:color w:val="404040" w:themeColor="text1" w:themeTint="BF"/>
          <w:sz w:val="16"/>
          <w:szCs w:val="16"/>
          <w:lang w:val="en-US"/>
        </w:rPr>
        <w:t xml:space="preserve">. </w:t>
      </w:r>
      <w:r w:rsidRPr="004F1A7B">
        <w:rPr>
          <w:rFonts w:asciiTheme="minorHAnsi" w:hAnsiTheme="minorHAnsi" w:cs="Arial"/>
          <w:color w:val="404040" w:themeColor="text1" w:themeTint="BF"/>
          <w:sz w:val="16"/>
          <w:szCs w:val="16"/>
          <w:lang w:val="en-US"/>
        </w:rPr>
        <w:t>OEA/</w:t>
      </w:r>
      <w:proofErr w:type="spellStart"/>
      <w:r w:rsidRPr="004F1A7B">
        <w:rPr>
          <w:rFonts w:asciiTheme="minorHAnsi" w:hAnsiTheme="minorHAnsi" w:cs="Arial"/>
          <w:color w:val="404040" w:themeColor="text1" w:themeTint="BF"/>
          <w:sz w:val="16"/>
          <w:szCs w:val="16"/>
          <w:lang w:val="en-US"/>
        </w:rPr>
        <w:t>Ser.L</w:t>
      </w:r>
      <w:proofErr w:type="spellEnd"/>
      <w:r w:rsidRPr="004F1A7B">
        <w:rPr>
          <w:rFonts w:asciiTheme="minorHAnsi" w:hAnsiTheme="minorHAnsi" w:cs="Arial"/>
          <w:color w:val="404040" w:themeColor="text1" w:themeTint="BF"/>
          <w:sz w:val="16"/>
          <w:szCs w:val="16"/>
          <w:lang w:val="en-US"/>
        </w:rPr>
        <w:t>/V/II. Doc. 66. December 31, 2011, para. 298.</w:t>
      </w:r>
    </w:p>
  </w:footnote>
  <w:footnote w:id="22">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The individuals murdered were </w:t>
      </w:r>
      <w:r w:rsidRPr="004F1A7B">
        <w:rPr>
          <w:rFonts w:asciiTheme="minorHAnsi" w:hAnsiTheme="minorHAnsi" w:cs="Tahoma"/>
          <w:color w:val="404040" w:themeColor="text1" w:themeTint="BF"/>
          <w:sz w:val="16"/>
          <w:szCs w:val="16"/>
          <w:lang w:val="en-US"/>
        </w:rPr>
        <w:t xml:space="preserve">María Enriqueta </w:t>
      </w:r>
      <w:proofErr w:type="spellStart"/>
      <w:r w:rsidRPr="004F1A7B">
        <w:rPr>
          <w:rFonts w:asciiTheme="minorHAnsi" w:hAnsiTheme="minorHAnsi" w:cs="Tahoma"/>
          <w:color w:val="404040" w:themeColor="text1" w:themeTint="BF"/>
          <w:sz w:val="16"/>
          <w:szCs w:val="16"/>
          <w:lang w:val="en-US"/>
        </w:rPr>
        <w:t>Matute</w:t>
      </w:r>
      <w:proofErr w:type="spellEnd"/>
      <w:r w:rsidRPr="004F1A7B">
        <w:rPr>
          <w:rFonts w:asciiTheme="minorHAnsi" w:hAnsiTheme="minorHAnsi" w:cs="Tahoma"/>
          <w:color w:val="404040" w:themeColor="text1" w:themeTint="BF"/>
          <w:sz w:val="16"/>
          <w:szCs w:val="16"/>
          <w:lang w:val="en-US"/>
        </w:rPr>
        <w:t xml:space="preserve">, Ricardo Soto </w:t>
      </w:r>
      <w:proofErr w:type="spellStart"/>
      <w:r w:rsidRPr="004F1A7B">
        <w:rPr>
          <w:rFonts w:asciiTheme="minorHAnsi" w:hAnsiTheme="minorHAnsi" w:cs="Tahoma"/>
          <w:color w:val="404040" w:themeColor="text1" w:themeTint="BF"/>
          <w:sz w:val="16"/>
          <w:szCs w:val="16"/>
          <w:lang w:val="en-US"/>
        </w:rPr>
        <w:t>Fúnez</w:t>
      </w:r>
      <w:proofErr w:type="spellEnd"/>
      <w:r w:rsidRPr="004F1A7B">
        <w:rPr>
          <w:rFonts w:asciiTheme="minorHAnsi" w:hAnsiTheme="minorHAnsi" w:cs="Tahoma"/>
          <w:color w:val="404040" w:themeColor="text1" w:themeTint="BF"/>
          <w:sz w:val="16"/>
          <w:szCs w:val="16"/>
          <w:lang w:val="en-US"/>
        </w:rPr>
        <w:t xml:space="preserve"> and Armando </w:t>
      </w:r>
      <w:proofErr w:type="spellStart"/>
      <w:r w:rsidRPr="004F1A7B">
        <w:rPr>
          <w:rFonts w:asciiTheme="minorHAnsi" w:hAnsiTheme="minorHAnsi" w:cs="Tahoma"/>
          <w:color w:val="404040" w:themeColor="text1" w:themeTint="BF"/>
          <w:sz w:val="16"/>
          <w:szCs w:val="16"/>
          <w:lang w:val="en-US"/>
        </w:rPr>
        <w:t>Fúnez</w:t>
      </w:r>
      <w:proofErr w:type="spellEnd"/>
      <w:r w:rsidRPr="004F1A7B">
        <w:rPr>
          <w:rFonts w:asciiTheme="minorHAnsi" w:hAnsiTheme="minorHAnsi" w:cs="Tahoma"/>
          <w:color w:val="404040" w:themeColor="text1" w:themeTint="BF"/>
          <w:sz w:val="16"/>
          <w:szCs w:val="16"/>
          <w:lang w:val="en-US"/>
        </w:rPr>
        <w:t xml:space="preserve"> Medina</w:t>
      </w:r>
      <w:r w:rsidRPr="004F1A7B">
        <w:rPr>
          <w:rFonts w:asciiTheme="minorHAnsi" w:hAnsiTheme="minorHAnsi"/>
          <w:color w:val="404040" w:themeColor="text1" w:themeTint="BF"/>
          <w:sz w:val="16"/>
          <w:szCs w:val="16"/>
          <w:lang w:val="en-US"/>
        </w:rPr>
        <w:t xml:space="preserve"> See: “OFRANEH Press Communiqué, </w:t>
      </w:r>
      <w:proofErr w:type="spellStart"/>
      <w:r w:rsidRPr="004F1A7B">
        <w:rPr>
          <w:rFonts w:asciiTheme="minorHAnsi" w:hAnsiTheme="minorHAnsi"/>
          <w:color w:val="404040" w:themeColor="text1" w:themeTint="BF"/>
          <w:sz w:val="16"/>
          <w:szCs w:val="16"/>
          <w:lang w:val="en-US"/>
        </w:rPr>
        <w:t>Masacre</w:t>
      </w:r>
      <w:proofErr w:type="spellEnd"/>
      <w:r w:rsidRPr="004F1A7B">
        <w:rPr>
          <w:rFonts w:asciiTheme="minorHAnsi" w:hAnsiTheme="minorHAnsi"/>
          <w:color w:val="404040" w:themeColor="text1" w:themeTint="BF"/>
          <w:sz w:val="16"/>
          <w:szCs w:val="16"/>
          <w:lang w:val="en-US"/>
        </w:rPr>
        <w:t xml:space="preserve"> of Indigenous </w:t>
      </w:r>
      <w:proofErr w:type="spellStart"/>
      <w:r w:rsidRPr="004F1A7B">
        <w:rPr>
          <w:rFonts w:asciiTheme="minorHAnsi" w:hAnsiTheme="minorHAnsi"/>
          <w:color w:val="404040" w:themeColor="text1" w:themeTint="BF"/>
          <w:sz w:val="16"/>
          <w:szCs w:val="16"/>
          <w:lang w:val="en-US"/>
        </w:rPr>
        <w:t>Tolupanes</w:t>
      </w:r>
      <w:proofErr w:type="spellEnd"/>
      <w:r w:rsidRPr="004F1A7B">
        <w:rPr>
          <w:rFonts w:asciiTheme="minorHAnsi" w:hAnsiTheme="minorHAnsi"/>
          <w:color w:val="404040" w:themeColor="text1" w:themeTint="BF"/>
          <w:sz w:val="16"/>
          <w:szCs w:val="16"/>
          <w:lang w:val="en-US"/>
        </w:rPr>
        <w:t xml:space="preserve"> and the lack of prior free and informed consent” dated August 27, 2013.</w:t>
      </w:r>
    </w:p>
  </w:footnote>
  <w:footnote w:id="23">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Precautionary Measure No. 416-13, December 19, 2013. Available at: </w:t>
      </w:r>
      <w:hyperlink r:id="rId23" w:history="1">
        <w:r w:rsidRPr="004F1A7B">
          <w:rPr>
            <w:rStyle w:val="Hipervnculo"/>
            <w:rFonts w:asciiTheme="minorHAnsi" w:hAnsiTheme="minorHAnsi"/>
            <w:color w:val="404040" w:themeColor="text1" w:themeTint="BF"/>
            <w:sz w:val="16"/>
            <w:szCs w:val="16"/>
            <w:u w:color="A6A6A6" w:themeColor="background1" w:themeShade="A6"/>
            <w:lang w:val="en-US"/>
          </w:rPr>
          <w:t>www.oas.org</w:t>
        </w:r>
      </w:hyperlink>
      <w:r w:rsidRPr="004F1A7B">
        <w:rPr>
          <w:rFonts w:asciiTheme="minorHAnsi" w:hAnsiTheme="minorHAnsi"/>
          <w:color w:val="404040" w:themeColor="text1" w:themeTint="BF"/>
          <w:sz w:val="16"/>
          <w:szCs w:val="16"/>
          <w:lang w:val="en-US"/>
        </w:rPr>
        <w:t>/en/iachr</w:t>
      </w:r>
    </w:p>
  </w:footnote>
  <w:footnote w:id="24">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i/>
          <w:color w:val="404040" w:themeColor="text1" w:themeTint="BF"/>
          <w:sz w:val="16"/>
          <w:szCs w:val="16"/>
          <w:lang w:val="en-US"/>
        </w:rPr>
        <w:t xml:space="preserve">El </w:t>
      </w:r>
      <w:proofErr w:type="spellStart"/>
      <w:r w:rsidRPr="004F1A7B">
        <w:rPr>
          <w:rFonts w:asciiTheme="minorHAnsi" w:hAnsiTheme="minorHAnsi"/>
          <w:i/>
          <w:color w:val="404040" w:themeColor="text1" w:themeTint="BF"/>
          <w:sz w:val="16"/>
          <w:szCs w:val="16"/>
          <w:lang w:val="en-US"/>
        </w:rPr>
        <w:t>Heraldo</w:t>
      </w:r>
      <w:proofErr w:type="spellEnd"/>
      <w:r w:rsidRPr="004F1A7B">
        <w:rPr>
          <w:rFonts w:asciiTheme="minorHAnsi" w:hAnsiTheme="minorHAnsi"/>
          <w:color w:val="404040" w:themeColor="text1" w:themeTint="BF"/>
          <w:sz w:val="16"/>
          <w:szCs w:val="16"/>
          <w:lang w:val="en-US"/>
        </w:rPr>
        <w:t xml:space="preserve"> Newspaper, </w:t>
      </w:r>
      <w:r w:rsidRPr="004F1A7B">
        <w:rPr>
          <w:rFonts w:asciiTheme="minorHAnsi" w:hAnsiTheme="minorHAnsi"/>
          <w:i/>
          <w:color w:val="404040" w:themeColor="text1" w:themeTint="BF"/>
          <w:sz w:val="16"/>
          <w:szCs w:val="16"/>
          <w:lang w:val="en-US"/>
        </w:rPr>
        <w:t xml:space="preserve">Indigenous </w:t>
      </w:r>
      <w:proofErr w:type="spellStart"/>
      <w:r w:rsidRPr="004F1A7B">
        <w:rPr>
          <w:rFonts w:asciiTheme="minorHAnsi" w:hAnsiTheme="minorHAnsi"/>
          <w:i/>
          <w:color w:val="404040" w:themeColor="text1" w:themeTint="BF"/>
          <w:sz w:val="16"/>
          <w:szCs w:val="16"/>
          <w:lang w:val="en-US"/>
        </w:rPr>
        <w:t>Tolupan</w:t>
      </w:r>
      <w:proofErr w:type="spellEnd"/>
      <w:r w:rsidRPr="004F1A7B">
        <w:rPr>
          <w:rFonts w:asciiTheme="minorHAnsi" w:hAnsiTheme="minorHAnsi"/>
          <w:i/>
          <w:color w:val="404040" w:themeColor="text1" w:themeTint="BF"/>
          <w:sz w:val="16"/>
          <w:szCs w:val="16"/>
          <w:lang w:val="en-US"/>
        </w:rPr>
        <w:t xml:space="preserve"> killed in Yoro</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 xml:space="preserve">El </w:t>
      </w:r>
      <w:proofErr w:type="spellStart"/>
      <w:r w:rsidRPr="004F1A7B">
        <w:rPr>
          <w:rFonts w:asciiTheme="minorHAnsi" w:hAnsiTheme="minorHAnsi"/>
          <w:i/>
          <w:color w:val="404040" w:themeColor="text1" w:themeTint="BF"/>
          <w:sz w:val="16"/>
          <w:szCs w:val="16"/>
          <w:lang w:val="en-US"/>
        </w:rPr>
        <w:t>Heraldo</w:t>
      </w:r>
      <w:proofErr w:type="spellEnd"/>
      <w:r w:rsidRPr="004F1A7B">
        <w:rPr>
          <w:rFonts w:asciiTheme="minorHAnsi" w:hAnsiTheme="minorHAnsi"/>
          <w:color w:val="404040" w:themeColor="text1" w:themeTint="BF"/>
          <w:sz w:val="16"/>
          <w:szCs w:val="16"/>
          <w:lang w:val="en-US"/>
        </w:rPr>
        <w:t xml:space="preserve">, April 6, 2015. Available at: </w:t>
      </w:r>
      <w:hyperlink r:id="rId24" w:history="1">
        <w:r w:rsidRPr="004F1A7B">
          <w:rPr>
            <w:rStyle w:val="Hipervnculo"/>
            <w:rFonts w:asciiTheme="minorHAnsi" w:hAnsiTheme="minorHAnsi"/>
            <w:color w:val="404040" w:themeColor="text1" w:themeTint="BF"/>
            <w:sz w:val="16"/>
            <w:szCs w:val="16"/>
            <w:u w:color="A6A6A6" w:themeColor="background1" w:themeShade="A6"/>
            <w:lang w:val="en-US"/>
          </w:rPr>
          <w:t>http://www.elheraldo.hn/vida/828446-332/matan-a-ind%C3%ADgena-tolup%C3%A1n-en-yoro?kw=Tolup%–C–3%A1n%20asesinado</w:t>
        </w:r>
      </w:hyperlink>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 xml:space="preserve">El </w:t>
      </w:r>
      <w:proofErr w:type="spellStart"/>
      <w:r w:rsidRPr="004F1A7B">
        <w:rPr>
          <w:rFonts w:asciiTheme="minorHAnsi" w:hAnsiTheme="minorHAnsi"/>
          <w:i/>
          <w:color w:val="404040" w:themeColor="text1" w:themeTint="BF"/>
          <w:sz w:val="16"/>
          <w:szCs w:val="16"/>
          <w:lang w:val="en-US"/>
        </w:rPr>
        <w:t>Tiempo</w:t>
      </w:r>
      <w:proofErr w:type="spellEnd"/>
      <w:r w:rsidRPr="004F1A7B">
        <w:rPr>
          <w:rFonts w:asciiTheme="minorHAnsi" w:hAnsiTheme="minorHAnsi"/>
          <w:color w:val="404040" w:themeColor="text1" w:themeTint="BF"/>
          <w:sz w:val="16"/>
          <w:szCs w:val="16"/>
          <w:lang w:val="en-US"/>
        </w:rPr>
        <w:t xml:space="preserve"> Newspaper, </w:t>
      </w:r>
      <w:r w:rsidRPr="004F1A7B">
        <w:rPr>
          <w:rFonts w:asciiTheme="minorHAnsi" w:hAnsiTheme="minorHAnsi"/>
          <w:i/>
          <w:color w:val="404040" w:themeColor="text1" w:themeTint="BF"/>
          <w:sz w:val="16"/>
          <w:szCs w:val="16"/>
          <w:lang w:val="en-US"/>
        </w:rPr>
        <w:t>Indigenous person killed in Honduras in clashes with minors</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 xml:space="preserve">El </w:t>
      </w:r>
      <w:proofErr w:type="spellStart"/>
      <w:r w:rsidRPr="004F1A7B">
        <w:rPr>
          <w:rFonts w:asciiTheme="minorHAnsi" w:hAnsiTheme="minorHAnsi"/>
          <w:i/>
          <w:color w:val="404040" w:themeColor="text1" w:themeTint="BF"/>
          <w:sz w:val="16"/>
          <w:szCs w:val="16"/>
          <w:lang w:val="en-US"/>
        </w:rPr>
        <w:t>Tiempo</w:t>
      </w:r>
      <w:proofErr w:type="spellEnd"/>
      <w:r w:rsidRPr="004F1A7B">
        <w:rPr>
          <w:rFonts w:asciiTheme="minorHAnsi" w:hAnsiTheme="minorHAnsi"/>
          <w:color w:val="404040" w:themeColor="text1" w:themeTint="BF"/>
          <w:sz w:val="16"/>
          <w:szCs w:val="16"/>
          <w:lang w:val="en-US"/>
        </w:rPr>
        <w:t xml:space="preserve">, April 6, 2015. Available at: </w:t>
      </w:r>
      <w:hyperlink r:id="rId25" w:history="1">
        <w:r w:rsidRPr="004F1A7B">
          <w:rPr>
            <w:rStyle w:val="Hipervnculo"/>
            <w:rFonts w:asciiTheme="minorHAnsi" w:hAnsiTheme="minorHAnsi"/>
            <w:color w:val="404040" w:themeColor="text1" w:themeTint="BF"/>
            <w:sz w:val="16"/>
            <w:szCs w:val="16"/>
            <w:u w:color="A6A6A6" w:themeColor="background1" w:themeShade="A6"/>
            <w:lang w:val="en-US"/>
          </w:rPr>
          <w:t>http://tiempo.hn/nacion/item/25902-asesinan-a-indigena-en-hond–uras-en-medio-de-conflicto-con-mineras</w:t>
        </w:r>
      </w:hyperlink>
      <w:r w:rsidRPr="004F1A7B">
        <w:rPr>
          <w:rFonts w:asciiTheme="minorHAnsi" w:hAnsiTheme="minorHAnsi"/>
          <w:color w:val="404040" w:themeColor="text1" w:themeTint="BF"/>
          <w:sz w:val="16"/>
          <w:szCs w:val="16"/>
          <w:lang w:val="en-US"/>
        </w:rPr>
        <w:t xml:space="preserve">; </w:t>
      </w:r>
    </w:p>
  </w:footnote>
  <w:footnote w:id="25">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i/>
          <w:color w:val="404040" w:themeColor="text1" w:themeTint="BF"/>
          <w:sz w:val="16"/>
          <w:szCs w:val="16"/>
          <w:lang w:val="en-US"/>
        </w:rPr>
        <w:t xml:space="preserve">Radio </w:t>
      </w:r>
      <w:proofErr w:type="spellStart"/>
      <w:r w:rsidRPr="004F1A7B">
        <w:rPr>
          <w:rFonts w:asciiTheme="minorHAnsi" w:hAnsiTheme="minorHAnsi"/>
          <w:i/>
          <w:color w:val="404040" w:themeColor="text1" w:themeTint="BF"/>
          <w:sz w:val="16"/>
          <w:szCs w:val="16"/>
          <w:lang w:val="en-US"/>
        </w:rPr>
        <w:t>Progreso</w:t>
      </w:r>
      <w:proofErr w:type="spellEnd"/>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 xml:space="preserve">Threats continue against </w:t>
      </w:r>
      <w:proofErr w:type="spellStart"/>
      <w:r w:rsidRPr="004F1A7B">
        <w:rPr>
          <w:rFonts w:asciiTheme="minorHAnsi" w:hAnsiTheme="minorHAnsi"/>
          <w:i/>
          <w:color w:val="404040" w:themeColor="text1" w:themeTint="BF"/>
          <w:sz w:val="16"/>
          <w:szCs w:val="16"/>
          <w:lang w:val="en-US"/>
        </w:rPr>
        <w:t>Tribu</w:t>
      </w:r>
      <w:proofErr w:type="spellEnd"/>
      <w:r w:rsidRPr="004F1A7B">
        <w:rPr>
          <w:rFonts w:asciiTheme="minorHAnsi" w:hAnsiTheme="minorHAnsi"/>
          <w:i/>
          <w:color w:val="404040" w:themeColor="text1" w:themeTint="BF"/>
          <w:sz w:val="16"/>
          <w:szCs w:val="16"/>
          <w:lang w:val="en-US"/>
        </w:rPr>
        <w:t xml:space="preserve"> leaders in Francisco in </w:t>
      </w:r>
      <w:proofErr w:type="spellStart"/>
      <w:r w:rsidRPr="004F1A7B">
        <w:rPr>
          <w:rFonts w:asciiTheme="minorHAnsi" w:hAnsiTheme="minorHAnsi"/>
          <w:i/>
          <w:color w:val="404040" w:themeColor="text1" w:themeTint="BF"/>
          <w:sz w:val="16"/>
          <w:szCs w:val="16"/>
          <w:lang w:val="en-US"/>
        </w:rPr>
        <w:t>Locomapa</w:t>
      </w:r>
      <w:proofErr w:type="spellEnd"/>
      <w:r w:rsidRPr="004F1A7B">
        <w:rPr>
          <w:rFonts w:asciiTheme="minorHAnsi" w:hAnsiTheme="minorHAnsi"/>
          <w:i/>
          <w:color w:val="404040" w:themeColor="text1" w:themeTint="BF"/>
          <w:sz w:val="16"/>
          <w:szCs w:val="16"/>
          <w:lang w:val="en-US"/>
        </w:rPr>
        <w:t>, Yoro</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 xml:space="preserve">Radio </w:t>
      </w:r>
      <w:proofErr w:type="spellStart"/>
      <w:r w:rsidRPr="004F1A7B">
        <w:rPr>
          <w:rFonts w:asciiTheme="minorHAnsi" w:hAnsiTheme="minorHAnsi"/>
          <w:i/>
          <w:color w:val="404040" w:themeColor="text1" w:themeTint="BF"/>
          <w:sz w:val="16"/>
          <w:szCs w:val="16"/>
          <w:lang w:val="en-US"/>
        </w:rPr>
        <w:t>Progreso</w:t>
      </w:r>
      <w:proofErr w:type="spellEnd"/>
      <w:r w:rsidRPr="004F1A7B">
        <w:rPr>
          <w:rFonts w:asciiTheme="minorHAnsi" w:hAnsiTheme="minorHAnsi"/>
          <w:color w:val="404040" w:themeColor="text1" w:themeTint="BF"/>
          <w:sz w:val="16"/>
          <w:szCs w:val="16"/>
          <w:lang w:val="en-US"/>
        </w:rPr>
        <w:t xml:space="preserve">, May 29, 2015. Available at: </w:t>
      </w:r>
      <w:hyperlink r:id="rId26" w:history="1">
        <w:r w:rsidRPr="004F1A7B">
          <w:rPr>
            <w:rStyle w:val="Hipervnculo"/>
            <w:rFonts w:asciiTheme="minorHAnsi" w:hAnsiTheme="minorHAnsi"/>
            <w:color w:val="404040" w:themeColor="text1" w:themeTint="BF"/>
            <w:sz w:val="16"/>
            <w:szCs w:val="16"/>
            <w:u w:color="A6A6A6" w:themeColor="background1" w:themeShade="A6"/>
            <w:lang w:val="en-US"/>
          </w:rPr>
          <w:t>http://radioprogresohn.net/index.php/comunicaciones/noticias/item/2098-contin–%C3%BAan-amenazas-a-l%C3%ADderes-de-tribu-francisco-en-locomapa-yoro</w:t>
        </w:r>
      </w:hyperlink>
      <w:r w:rsidRPr="004F1A7B">
        <w:rPr>
          <w:rFonts w:asciiTheme="minorHAnsi" w:hAnsiTheme="minorHAnsi"/>
          <w:color w:val="404040" w:themeColor="text1" w:themeTint="BF"/>
          <w:sz w:val="16"/>
          <w:szCs w:val="16"/>
          <w:lang w:val="en-US"/>
        </w:rPr>
        <w:t xml:space="preserve">. </w:t>
      </w:r>
    </w:p>
  </w:footnote>
  <w:footnote w:id="26">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Information provided by civil society during on-site visit to Honduras.</w:t>
      </w:r>
    </w:p>
  </w:footnote>
  <w:footnote w:id="27">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s-ES_tradnl"/>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r>
      <w:r w:rsidRPr="004F1A7B">
        <w:rPr>
          <w:rFonts w:asciiTheme="minorHAnsi" w:hAnsiTheme="minorHAnsi"/>
          <w:color w:val="404040" w:themeColor="text1" w:themeTint="BF"/>
          <w:sz w:val="16"/>
          <w:szCs w:val="16"/>
          <w:lang w:val="es-ES_tradnl"/>
        </w:rPr>
        <w:t xml:space="preserve">CIPRODEH, </w:t>
      </w:r>
      <w:r w:rsidRPr="004F1A7B">
        <w:rPr>
          <w:rFonts w:asciiTheme="minorHAnsi" w:hAnsiTheme="minorHAnsi"/>
          <w:i/>
          <w:color w:val="404040" w:themeColor="text1" w:themeTint="BF"/>
          <w:sz w:val="16"/>
          <w:szCs w:val="16"/>
          <w:lang w:val="es-ES_tradnl"/>
        </w:rPr>
        <w:t xml:space="preserve">Informe de la Situación de los Pueblos </w:t>
      </w:r>
      <w:proofErr w:type="spellStart"/>
      <w:r w:rsidRPr="004F1A7B">
        <w:rPr>
          <w:rFonts w:asciiTheme="minorHAnsi" w:hAnsiTheme="minorHAnsi"/>
          <w:i/>
          <w:color w:val="404040" w:themeColor="text1" w:themeTint="BF"/>
          <w:sz w:val="16"/>
          <w:szCs w:val="16"/>
          <w:lang w:val="es-ES_tradnl"/>
        </w:rPr>
        <w:t>Afrohondureños</w:t>
      </w:r>
      <w:proofErr w:type="spellEnd"/>
      <w:r w:rsidRPr="004F1A7B">
        <w:rPr>
          <w:rFonts w:asciiTheme="minorHAnsi" w:hAnsiTheme="minorHAnsi"/>
          <w:i/>
          <w:color w:val="404040" w:themeColor="text1" w:themeTint="BF"/>
          <w:sz w:val="16"/>
          <w:szCs w:val="16"/>
          <w:lang w:val="es-ES_tradnl"/>
        </w:rPr>
        <w:t>, Caso Barra Vieja</w:t>
      </w:r>
      <w:r w:rsidRPr="004F1A7B">
        <w:rPr>
          <w:rFonts w:asciiTheme="minorHAnsi" w:hAnsiTheme="minorHAnsi"/>
          <w:color w:val="404040" w:themeColor="text1" w:themeTint="BF"/>
          <w:sz w:val="16"/>
          <w:szCs w:val="16"/>
          <w:lang w:val="es-ES_tradnl"/>
        </w:rPr>
        <w:t xml:space="preserve">, </w:t>
      </w:r>
      <w:proofErr w:type="spellStart"/>
      <w:r w:rsidRPr="004F1A7B">
        <w:rPr>
          <w:rFonts w:asciiTheme="minorHAnsi" w:hAnsiTheme="minorHAnsi"/>
          <w:color w:val="404040" w:themeColor="text1" w:themeTint="BF"/>
          <w:sz w:val="16"/>
          <w:szCs w:val="16"/>
          <w:lang w:val="es-CO"/>
        </w:rPr>
        <w:t>Information</w:t>
      </w:r>
      <w:proofErr w:type="spellEnd"/>
      <w:r w:rsidRPr="004F1A7B">
        <w:rPr>
          <w:rFonts w:asciiTheme="minorHAnsi" w:hAnsiTheme="minorHAnsi"/>
          <w:color w:val="404040" w:themeColor="text1" w:themeTint="BF"/>
          <w:sz w:val="16"/>
          <w:szCs w:val="16"/>
          <w:lang w:val="es-CO"/>
        </w:rPr>
        <w:t xml:space="preserve"> </w:t>
      </w:r>
      <w:proofErr w:type="spellStart"/>
      <w:r w:rsidRPr="004F1A7B">
        <w:rPr>
          <w:rFonts w:asciiTheme="minorHAnsi" w:hAnsiTheme="minorHAnsi"/>
          <w:color w:val="404040" w:themeColor="text1" w:themeTint="BF"/>
          <w:sz w:val="16"/>
          <w:szCs w:val="16"/>
          <w:lang w:val="es-CO"/>
        </w:rPr>
        <w:t>received</w:t>
      </w:r>
      <w:proofErr w:type="spellEnd"/>
      <w:r w:rsidRPr="004F1A7B">
        <w:rPr>
          <w:rFonts w:asciiTheme="minorHAnsi" w:hAnsiTheme="minorHAnsi"/>
          <w:color w:val="404040" w:themeColor="text1" w:themeTint="BF"/>
          <w:sz w:val="16"/>
          <w:szCs w:val="16"/>
          <w:lang w:val="es-CO"/>
        </w:rPr>
        <w:t xml:space="preserve"> </w:t>
      </w:r>
      <w:proofErr w:type="spellStart"/>
      <w:r w:rsidRPr="004F1A7B">
        <w:rPr>
          <w:rFonts w:asciiTheme="minorHAnsi" w:hAnsiTheme="minorHAnsi"/>
          <w:color w:val="404040" w:themeColor="text1" w:themeTint="BF"/>
          <w:sz w:val="16"/>
          <w:szCs w:val="16"/>
          <w:lang w:val="es-CO"/>
        </w:rPr>
        <w:t>during</w:t>
      </w:r>
      <w:proofErr w:type="spellEnd"/>
      <w:r w:rsidRPr="004F1A7B">
        <w:rPr>
          <w:rFonts w:asciiTheme="minorHAnsi" w:hAnsiTheme="minorHAnsi"/>
          <w:color w:val="404040" w:themeColor="text1" w:themeTint="BF"/>
          <w:sz w:val="16"/>
          <w:szCs w:val="16"/>
          <w:lang w:val="es-CO"/>
        </w:rPr>
        <w:t xml:space="preserve"> </w:t>
      </w:r>
      <w:proofErr w:type="spellStart"/>
      <w:r w:rsidRPr="004F1A7B">
        <w:rPr>
          <w:rFonts w:asciiTheme="minorHAnsi" w:hAnsiTheme="minorHAnsi"/>
          <w:color w:val="404040" w:themeColor="text1" w:themeTint="BF"/>
          <w:sz w:val="16"/>
          <w:szCs w:val="16"/>
          <w:lang w:val="es-CO"/>
        </w:rPr>
        <w:t>the</w:t>
      </w:r>
      <w:proofErr w:type="spellEnd"/>
      <w:r w:rsidRPr="004F1A7B">
        <w:rPr>
          <w:rFonts w:asciiTheme="minorHAnsi" w:hAnsiTheme="minorHAnsi"/>
          <w:color w:val="404040" w:themeColor="text1" w:themeTint="BF"/>
          <w:sz w:val="16"/>
          <w:szCs w:val="16"/>
          <w:lang w:val="es-CO"/>
        </w:rPr>
        <w:t xml:space="preserve"> Inter-American </w:t>
      </w:r>
      <w:proofErr w:type="spellStart"/>
      <w:r w:rsidRPr="004F1A7B">
        <w:rPr>
          <w:rFonts w:asciiTheme="minorHAnsi" w:hAnsiTheme="minorHAnsi"/>
          <w:color w:val="404040" w:themeColor="text1" w:themeTint="BF"/>
          <w:sz w:val="16"/>
          <w:szCs w:val="16"/>
          <w:lang w:val="es-CO"/>
        </w:rPr>
        <w:t>Commission’s</w:t>
      </w:r>
      <w:proofErr w:type="spellEnd"/>
      <w:r w:rsidRPr="004F1A7B">
        <w:rPr>
          <w:rFonts w:asciiTheme="minorHAnsi" w:hAnsiTheme="minorHAnsi"/>
          <w:color w:val="404040" w:themeColor="text1" w:themeTint="BF"/>
          <w:sz w:val="16"/>
          <w:szCs w:val="16"/>
          <w:lang w:val="es-CO"/>
        </w:rPr>
        <w:t xml:space="preserve"> </w:t>
      </w:r>
      <w:proofErr w:type="spellStart"/>
      <w:r w:rsidRPr="004F1A7B">
        <w:rPr>
          <w:rFonts w:asciiTheme="minorHAnsi" w:hAnsiTheme="minorHAnsi"/>
          <w:color w:val="404040" w:themeColor="text1" w:themeTint="BF"/>
          <w:sz w:val="16"/>
          <w:szCs w:val="16"/>
          <w:lang w:val="es-CO"/>
        </w:rPr>
        <w:t>on-site</w:t>
      </w:r>
      <w:proofErr w:type="spellEnd"/>
      <w:r w:rsidRPr="004F1A7B">
        <w:rPr>
          <w:rFonts w:asciiTheme="minorHAnsi" w:hAnsiTheme="minorHAnsi"/>
          <w:color w:val="404040" w:themeColor="text1" w:themeTint="BF"/>
          <w:sz w:val="16"/>
          <w:szCs w:val="16"/>
          <w:lang w:val="es-CO"/>
        </w:rPr>
        <w:t xml:space="preserve"> </w:t>
      </w:r>
      <w:proofErr w:type="spellStart"/>
      <w:r w:rsidRPr="004F1A7B">
        <w:rPr>
          <w:rFonts w:asciiTheme="minorHAnsi" w:hAnsiTheme="minorHAnsi"/>
          <w:color w:val="404040" w:themeColor="text1" w:themeTint="BF"/>
          <w:sz w:val="16"/>
          <w:szCs w:val="16"/>
          <w:lang w:val="es-CO"/>
        </w:rPr>
        <w:t>visit</w:t>
      </w:r>
      <w:proofErr w:type="spellEnd"/>
      <w:r w:rsidRPr="004F1A7B">
        <w:rPr>
          <w:rFonts w:asciiTheme="minorHAnsi" w:hAnsiTheme="minorHAnsi"/>
          <w:color w:val="404040" w:themeColor="text1" w:themeTint="BF"/>
          <w:sz w:val="16"/>
          <w:szCs w:val="16"/>
          <w:lang w:val="es-CO"/>
        </w:rPr>
        <w:t xml:space="preserve"> </w:t>
      </w:r>
      <w:proofErr w:type="spellStart"/>
      <w:r w:rsidRPr="004F1A7B">
        <w:rPr>
          <w:rFonts w:asciiTheme="minorHAnsi" w:hAnsiTheme="minorHAnsi"/>
          <w:color w:val="404040" w:themeColor="text1" w:themeTint="BF"/>
          <w:sz w:val="16"/>
          <w:szCs w:val="16"/>
          <w:lang w:val="es-CO"/>
        </w:rPr>
        <w:t>to</w:t>
      </w:r>
      <w:proofErr w:type="spellEnd"/>
      <w:r w:rsidRPr="004F1A7B">
        <w:rPr>
          <w:rFonts w:asciiTheme="minorHAnsi" w:hAnsiTheme="minorHAnsi"/>
          <w:color w:val="404040" w:themeColor="text1" w:themeTint="BF"/>
          <w:sz w:val="16"/>
          <w:szCs w:val="16"/>
          <w:lang w:val="es-CO"/>
        </w:rPr>
        <w:t xml:space="preserve"> Honduras. La Ceiba, </w:t>
      </w:r>
      <w:proofErr w:type="spellStart"/>
      <w:r w:rsidRPr="004F1A7B">
        <w:rPr>
          <w:rFonts w:asciiTheme="minorHAnsi" w:hAnsiTheme="minorHAnsi"/>
          <w:color w:val="404040" w:themeColor="text1" w:themeTint="BF"/>
          <w:sz w:val="16"/>
          <w:szCs w:val="16"/>
          <w:lang w:val="es-CO"/>
        </w:rPr>
        <w:t>December</w:t>
      </w:r>
      <w:proofErr w:type="spellEnd"/>
      <w:r w:rsidRPr="004F1A7B">
        <w:rPr>
          <w:rFonts w:asciiTheme="minorHAnsi" w:hAnsiTheme="minorHAnsi"/>
          <w:color w:val="404040" w:themeColor="text1" w:themeTint="BF"/>
          <w:sz w:val="16"/>
          <w:szCs w:val="16"/>
          <w:lang w:val="es-CO"/>
        </w:rPr>
        <w:t xml:space="preserve"> 2, 2014</w:t>
      </w:r>
      <w:r w:rsidRPr="004F1A7B">
        <w:rPr>
          <w:rFonts w:asciiTheme="minorHAnsi" w:hAnsiTheme="minorHAnsi"/>
          <w:color w:val="404040" w:themeColor="text1" w:themeTint="BF"/>
          <w:sz w:val="16"/>
          <w:szCs w:val="16"/>
          <w:lang w:val="es-ES_tradnl"/>
        </w:rPr>
        <w:t>.</w:t>
      </w:r>
    </w:p>
  </w:footnote>
  <w:footnote w:id="28">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IACHR, </w:t>
      </w:r>
      <w:proofErr w:type="spellStart"/>
      <w:r w:rsidRPr="004F1A7B">
        <w:rPr>
          <w:rFonts w:asciiTheme="minorHAnsi" w:hAnsiTheme="minorHAnsi"/>
          <w:i/>
          <w:color w:val="404040" w:themeColor="text1" w:themeTint="BF"/>
          <w:sz w:val="16"/>
          <w:szCs w:val="16"/>
          <w:lang w:val="es-CO"/>
        </w:rPr>
        <w:t>Garifuna</w:t>
      </w:r>
      <w:proofErr w:type="spellEnd"/>
      <w:r w:rsidRPr="004F1A7B">
        <w:rPr>
          <w:rFonts w:asciiTheme="minorHAnsi" w:hAnsiTheme="minorHAnsi"/>
          <w:i/>
          <w:color w:val="404040" w:themeColor="text1" w:themeTint="BF"/>
          <w:sz w:val="16"/>
          <w:szCs w:val="16"/>
          <w:lang w:val="es-CO"/>
        </w:rPr>
        <w:t xml:space="preserve"> </w:t>
      </w:r>
      <w:proofErr w:type="spellStart"/>
      <w:r w:rsidRPr="004F1A7B">
        <w:rPr>
          <w:rFonts w:asciiTheme="minorHAnsi" w:hAnsiTheme="minorHAnsi"/>
          <w:i/>
          <w:color w:val="404040" w:themeColor="text1" w:themeTint="BF"/>
          <w:sz w:val="16"/>
          <w:szCs w:val="16"/>
          <w:lang w:val="es-CO"/>
        </w:rPr>
        <w:t>Community</w:t>
      </w:r>
      <w:proofErr w:type="spellEnd"/>
      <w:r w:rsidRPr="004F1A7B">
        <w:rPr>
          <w:rFonts w:asciiTheme="minorHAnsi" w:hAnsiTheme="minorHAnsi"/>
          <w:i/>
          <w:color w:val="404040" w:themeColor="text1" w:themeTint="BF"/>
          <w:sz w:val="16"/>
          <w:szCs w:val="16"/>
          <w:lang w:val="es-CO"/>
        </w:rPr>
        <w:t xml:space="preserve"> </w:t>
      </w:r>
      <w:proofErr w:type="spellStart"/>
      <w:r w:rsidRPr="004F1A7B">
        <w:rPr>
          <w:rFonts w:asciiTheme="minorHAnsi" w:hAnsiTheme="minorHAnsi"/>
          <w:i/>
          <w:color w:val="404040" w:themeColor="text1" w:themeTint="BF"/>
          <w:sz w:val="16"/>
          <w:szCs w:val="16"/>
          <w:lang w:val="es-CO"/>
        </w:rPr>
        <w:t>of</w:t>
      </w:r>
      <w:proofErr w:type="spellEnd"/>
      <w:r w:rsidRPr="004F1A7B">
        <w:rPr>
          <w:rFonts w:asciiTheme="minorHAnsi" w:hAnsiTheme="minorHAnsi"/>
          <w:i/>
          <w:color w:val="404040" w:themeColor="text1" w:themeTint="BF"/>
          <w:sz w:val="16"/>
          <w:szCs w:val="16"/>
          <w:lang w:val="es-CO"/>
        </w:rPr>
        <w:t xml:space="preserve"> “Triunfo de la Cruz” and </w:t>
      </w:r>
      <w:proofErr w:type="spellStart"/>
      <w:r w:rsidRPr="004F1A7B">
        <w:rPr>
          <w:rFonts w:asciiTheme="minorHAnsi" w:hAnsiTheme="minorHAnsi"/>
          <w:i/>
          <w:color w:val="404040" w:themeColor="text1" w:themeTint="BF"/>
          <w:sz w:val="16"/>
          <w:szCs w:val="16"/>
          <w:lang w:val="es-CO"/>
        </w:rPr>
        <w:t>its</w:t>
      </w:r>
      <w:proofErr w:type="spellEnd"/>
      <w:r w:rsidRPr="004F1A7B">
        <w:rPr>
          <w:rFonts w:asciiTheme="minorHAnsi" w:hAnsiTheme="minorHAnsi"/>
          <w:i/>
          <w:color w:val="404040" w:themeColor="text1" w:themeTint="BF"/>
          <w:sz w:val="16"/>
          <w:szCs w:val="16"/>
          <w:lang w:val="es-CO"/>
        </w:rPr>
        <w:t xml:space="preserve"> </w:t>
      </w:r>
      <w:proofErr w:type="spellStart"/>
      <w:r w:rsidRPr="004F1A7B">
        <w:rPr>
          <w:rFonts w:asciiTheme="minorHAnsi" w:hAnsiTheme="minorHAnsi"/>
          <w:i/>
          <w:color w:val="404040" w:themeColor="text1" w:themeTint="BF"/>
          <w:sz w:val="16"/>
          <w:szCs w:val="16"/>
          <w:lang w:val="es-CO"/>
        </w:rPr>
        <w:t>Members</w:t>
      </w:r>
      <w:proofErr w:type="spellEnd"/>
      <w:r w:rsidRPr="004F1A7B">
        <w:rPr>
          <w:rFonts w:asciiTheme="minorHAnsi" w:hAnsiTheme="minorHAnsi"/>
          <w:i/>
          <w:color w:val="404040" w:themeColor="text1" w:themeTint="BF"/>
          <w:sz w:val="16"/>
          <w:szCs w:val="16"/>
          <w:lang w:val="es-CO"/>
        </w:rPr>
        <w:t xml:space="preserve"> (Honduras)</w:t>
      </w:r>
      <w:r w:rsidRPr="004F1A7B">
        <w:rPr>
          <w:rFonts w:asciiTheme="minorHAnsi" w:hAnsiTheme="minorHAnsi"/>
          <w:color w:val="404040" w:themeColor="text1" w:themeTint="BF"/>
          <w:sz w:val="16"/>
          <w:szCs w:val="16"/>
          <w:lang w:val="es-CO"/>
        </w:rPr>
        <w:t xml:space="preserve">, Case 12.548, </w:t>
      </w:r>
      <w:proofErr w:type="spellStart"/>
      <w:r w:rsidRPr="004F1A7B">
        <w:rPr>
          <w:rFonts w:asciiTheme="minorHAnsi" w:hAnsiTheme="minorHAnsi"/>
          <w:color w:val="404040" w:themeColor="text1" w:themeTint="BF"/>
          <w:sz w:val="16"/>
          <w:szCs w:val="16"/>
          <w:lang w:val="es-CO"/>
        </w:rPr>
        <w:t>Report</w:t>
      </w:r>
      <w:proofErr w:type="spellEnd"/>
      <w:r w:rsidRPr="004F1A7B">
        <w:rPr>
          <w:rFonts w:asciiTheme="minorHAnsi" w:hAnsiTheme="minorHAnsi"/>
          <w:color w:val="404040" w:themeColor="text1" w:themeTint="BF"/>
          <w:sz w:val="16"/>
          <w:szCs w:val="16"/>
          <w:lang w:val="es-CO"/>
        </w:rPr>
        <w:t xml:space="preserve"> No. 76/12, </w:t>
      </w:r>
      <w:proofErr w:type="spellStart"/>
      <w:r w:rsidRPr="004F1A7B">
        <w:rPr>
          <w:rFonts w:asciiTheme="minorHAnsi" w:hAnsiTheme="minorHAnsi"/>
          <w:color w:val="404040" w:themeColor="text1" w:themeTint="BF"/>
          <w:sz w:val="16"/>
          <w:szCs w:val="16"/>
          <w:lang w:val="es-CO"/>
        </w:rPr>
        <w:t>November</w:t>
      </w:r>
      <w:proofErr w:type="spellEnd"/>
      <w:r w:rsidRPr="004F1A7B">
        <w:rPr>
          <w:rFonts w:asciiTheme="minorHAnsi" w:hAnsiTheme="minorHAnsi"/>
          <w:color w:val="404040" w:themeColor="text1" w:themeTint="BF"/>
          <w:sz w:val="16"/>
          <w:szCs w:val="16"/>
          <w:lang w:val="es-CO"/>
        </w:rPr>
        <w:t xml:space="preserve"> 7, 2012, para. </w:t>
      </w:r>
      <w:r w:rsidRPr="004F1A7B">
        <w:rPr>
          <w:rFonts w:asciiTheme="minorHAnsi" w:hAnsiTheme="minorHAnsi"/>
          <w:color w:val="404040" w:themeColor="text1" w:themeTint="BF"/>
          <w:sz w:val="16"/>
          <w:szCs w:val="16"/>
          <w:lang w:val="en-US"/>
        </w:rPr>
        <w:t>190.</w:t>
      </w:r>
    </w:p>
  </w:footnote>
  <w:footnote w:id="29">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CIPRODEH, </w:t>
      </w:r>
      <w:r w:rsidRPr="004F1A7B">
        <w:rPr>
          <w:rFonts w:asciiTheme="minorHAnsi" w:hAnsiTheme="minorHAnsi"/>
          <w:i/>
          <w:color w:val="404040" w:themeColor="text1" w:themeTint="BF"/>
          <w:sz w:val="16"/>
          <w:szCs w:val="16"/>
          <w:lang w:val="en-US"/>
        </w:rPr>
        <w:t xml:space="preserve">Report </w:t>
      </w:r>
      <w:proofErr w:type="gramStart"/>
      <w:r w:rsidRPr="004F1A7B">
        <w:rPr>
          <w:rFonts w:asciiTheme="minorHAnsi" w:hAnsiTheme="minorHAnsi"/>
          <w:i/>
          <w:color w:val="404040" w:themeColor="text1" w:themeTint="BF"/>
          <w:sz w:val="16"/>
          <w:szCs w:val="16"/>
          <w:lang w:val="en-US"/>
        </w:rPr>
        <w:t>on the Situation of</w:t>
      </w:r>
      <w:proofErr w:type="gramEnd"/>
      <w:r w:rsidRPr="004F1A7B">
        <w:rPr>
          <w:rFonts w:asciiTheme="minorHAnsi" w:hAnsiTheme="minorHAnsi"/>
          <w:i/>
          <w:color w:val="404040" w:themeColor="text1" w:themeTint="BF"/>
          <w:sz w:val="16"/>
          <w:szCs w:val="16"/>
          <w:lang w:val="en-US"/>
        </w:rPr>
        <w:t xml:space="preserve"> Afro-Honduran Peoples</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 xml:space="preserve">Case of Barra </w:t>
      </w:r>
      <w:proofErr w:type="spellStart"/>
      <w:r w:rsidRPr="004F1A7B">
        <w:rPr>
          <w:rFonts w:asciiTheme="minorHAnsi" w:hAnsiTheme="minorHAnsi"/>
          <w:i/>
          <w:color w:val="404040" w:themeColor="text1" w:themeTint="BF"/>
          <w:sz w:val="16"/>
          <w:szCs w:val="16"/>
          <w:lang w:val="en-US"/>
        </w:rPr>
        <w:t>Vieja</w:t>
      </w:r>
      <w:proofErr w:type="spellEnd"/>
      <w:r w:rsidRPr="004F1A7B">
        <w:rPr>
          <w:rFonts w:asciiTheme="minorHAnsi" w:hAnsiTheme="minorHAnsi"/>
          <w:color w:val="404040" w:themeColor="text1" w:themeTint="BF"/>
          <w:sz w:val="16"/>
          <w:szCs w:val="16"/>
          <w:lang w:val="en-US"/>
        </w:rPr>
        <w:t>, Information received during the Inter-American Commission’s on-site visit to Honduras. La Ceiba, December 2, 2014.</w:t>
      </w:r>
    </w:p>
  </w:footnote>
  <w:footnote w:id="30">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Peace Brigades International – Honduras Project, </w:t>
      </w:r>
      <w:r w:rsidRPr="004F1A7B">
        <w:rPr>
          <w:rFonts w:asciiTheme="minorHAnsi" w:hAnsiTheme="minorHAnsi"/>
          <w:i/>
          <w:color w:val="404040" w:themeColor="text1" w:themeTint="BF"/>
          <w:sz w:val="16"/>
          <w:szCs w:val="16"/>
          <w:lang w:val="en-US"/>
        </w:rPr>
        <w:t>Bulletin PBI Honduras 02,</w:t>
      </w:r>
      <w:r w:rsidRPr="004F1A7B">
        <w:rPr>
          <w:rFonts w:asciiTheme="minorHAnsi" w:hAnsiTheme="minorHAnsi"/>
          <w:color w:val="404040" w:themeColor="text1" w:themeTint="BF"/>
          <w:sz w:val="16"/>
          <w:szCs w:val="16"/>
          <w:lang w:val="en-US"/>
        </w:rPr>
        <w:t xml:space="preserve"> January 2015, p. 29. Available at: </w:t>
      </w:r>
      <w:hyperlink r:id="rId27" w:history="1">
        <w:r w:rsidRPr="004F1A7B">
          <w:rPr>
            <w:rStyle w:val="Hipervnculo"/>
            <w:rFonts w:asciiTheme="minorHAnsi" w:hAnsiTheme="minorHAnsi"/>
            <w:color w:val="404040" w:themeColor="text1" w:themeTint="BF"/>
            <w:sz w:val="16"/>
            <w:szCs w:val="16"/>
            <w:u w:color="A6A6A6" w:themeColor="background1" w:themeShade="A6"/>
            <w:lang w:val="en-US"/>
          </w:rPr>
          <w:t>http://www.pbi-honduras.org/fileadmin/user_files/projects/honduras/Publications/B02-16-SPA-rev.pdf</w:t>
        </w:r>
      </w:hyperlink>
      <w:r w:rsidRPr="004F1A7B">
        <w:rPr>
          <w:rFonts w:asciiTheme="minorHAnsi" w:hAnsiTheme="minorHAnsi"/>
          <w:color w:val="404040" w:themeColor="text1" w:themeTint="BF"/>
          <w:sz w:val="16"/>
          <w:szCs w:val="16"/>
          <w:lang w:val="en-US"/>
        </w:rPr>
        <w:t xml:space="preserve">. CIPRODEH, </w:t>
      </w:r>
      <w:r w:rsidRPr="004F1A7B">
        <w:rPr>
          <w:rFonts w:asciiTheme="minorHAnsi" w:hAnsiTheme="minorHAnsi"/>
          <w:i/>
          <w:color w:val="404040" w:themeColor="text1" w:themeTint="BF"/>
          <w:sz w:val="16"/>
          <w:szCs w:val="16"/>
          <w:lang w:val="en-US"/>
        </w:rPr>
        <w:t xml:space="preserve">Report </w:t>
      </w:r>
      <w:proofErr w:type="gramStart"/>
      <w:r w:rsidRPr="004F1A7B">
        <w:rPr>
          <w:rFonts w:asciiTheme="minorHAnsi" w:hAnsiTheme="minorHAnsi"/>
          <w:i/>
          <w:color w:val="404040" w:themeColor="text1" w:themeTint="BF"/>
          <w:sz w:val="16"/>
          <w:szCs w:val="16"/>
          <w:lang w:val="en-US"/>
        </w:rPr>
        <w:t>on the Situation of</w:t>
      </w:r>
      <w:proofErr w:type="gramEnd"/>
      <w:r w:rsidRPr="004F1A7B">
        <w:rPr>
          <w:rFonts w:asciiTheme="minorHAnsi" w:hAnsiTheme="minorHAnsi"/>
          <w:i/>
          <w:color w:val="404040" w:themeColor="text1" w:themeTint="BF"/>
          <w:sz w:val="16"/>
          <w:szCs w:val="16"/>
          <w:lang w:val="en-US"/>
        </w:rPr>
        <w:t xml:space="preserve"> Afro-Honduran Peoples,</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 xml:space="preserve">Case of Barra </w:t>
      </w:r>
      <w:proofErr w:type="spellStart"/>
      <w:r w:rsidRPr="004F1A7B">
        <w:rPr>
          <w:rFonts w:asciiTheme="minorHAnsi" w:hAnsiTheme="minorHAnsi"/>
          <w:i/>
          <w:color w:val="404040" w:themeColor="text1" w:themeTint="BF"/>
          <w:sz w:val="16"/>
          <w:szCs w:val="16"/>
          <w:lang w:val="en-US"/>
        </w:rPr>
        <w:t>Vieja</w:t>
      </w:r>
      <w:proofErr w:type="spellEnd"/>
      <w:r w:rsidRPr="004F1A7B">
        <w:rPr>
          <w:rFonts w:asciiTheme="minorHAnsi" w:hAnsiTheme="minorHAnsi"/>
          <w:color w:val="404040" w:themeColor="text1" w:themeTint="BF"/>
          <w:sz w:val="16"/>
          <w:szCs w:val="16"/>
          <w:lang w:val="en-US"/>
        </w:rPr>
        <w:t>, Information received during the Inter-American Commission’s on-site visit to Honduras. La Ceiba, December 2, 2014.</w:t>
      </w:r>
    </w:p>
  </w:footnote>
  <w:footnote w:id="31">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CIPRODEH, </w:t>
      </w:r>
      <w:r w:rsidRPr="004F1A7B">
        <w:rPr>
          <w:rFonts w:asciiTheme="minorHAnsi" w:hAnsiTheme="minorHAnsi"/>
          <w:i/>
          <w:color w:val="404040" w:themeColor="text1" w:themeTint="BF"/>
          <w:sz w:val="16"/>
          <w:szCs w:val="16"/>
          <w:lang w:val="en-US"/>
        </w:rPr>
        <w:t xml:space="preserve">Report </w:t>
      </w:r>
      <w:proofErr w:type="gramStart"/>
      <w:r w:rsidRPr="004F1A7B">
        <w:rPr>
          <w:rFonts w:asciiTheme="minorHAnsi" w:hAnsiTheme="minorHAnsi"/>
          <w:i/>
          <w:color w:val="404040" w:themeColor="text1" w:themeTint="BF"/>
          <w:sz w:val="16"/>
          <w:szCs w:val="16"/>
          <w:lang w:val="en-US"/>
        </w:rPr>
        <w:t>on the Situation of</w:t>
      </w:r>
      <w:proofErr w:type="gramEnd"/>
      <w:r w:rsidRPr="004F1A7B">
        <w:rPr>
          <w:rFonts w:asciiTheme="minorHAnsi" w:hAnsiTheme="minorHAnsi"/>
          <w:i/>
          <w:color w:val="404040" w:themeColor="text1" w:themeTint="BF"/>
          <w:sz w:val="16"/>
          <w:szCs w:val="16"/>
          <w:lang w:val="en-US"/>
        </w:rPr>
        <w:t xml:space="preserve"> Afro-Honduran Peoples,</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 xml:space="preserve">Case of Barra </w:t>
      </w:r>
      <w:proofErr w:type="spellStart"/>
      <w:r w:rsidRPr="004F1A7B">
        <w:rPr>
          <w:rFonts w:asciiTheme="minorHAnsi" w:hAnsiTheme="minorHAnsi"/>
          <w:i/>
          <w:color w:val="404040" w:themeColor="text1" w:themeTint="BF"/>
          <w:sz w:val="16"/>
          <w:szCs w:val="16"/>
          <w:lang w:val="en-US"/>
        </w:rPr>
        <w:t>Vieja</w:t>
      </w:r>
      <w:proofErr w:type="spellEnd"/>
      <w:r w:rsidRPr="004F1A7B">
        <w:rPr>
          <w:rFonts w:asciiTheme="minorHAnsi" w:hAnsiTheme="minorHAnsi"/>
          <w:color w:val="404040" w:themeColor="text1" w:themeTint="BF"/>
          <w:sz w:val="16"/>
          <w:szCs w:val="16"/>
          <w:lang w:val="en-US"/>
        </w:rPr>
        <w:t>, Information received during the Inter-American Commission’s on-site visit to Honduras. La Ceiba, December 2, 2014.</w:t>
      </w:r>
    </w:p>
  </w:footnote>
  <w:footnote w:id="32">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Fonts w:asciiTheme="minorHAnsi" w:hAnsiTheme="minorHAnsi"/>
          <w:color w:val="404040" w:themeColor="text1" w:themeTint="BF"/>
          <w:sz w:val="16"/>
          <w:szCs w:val="16"/>
          <w:vertAlign w:val="superscript"/>
          <w:lang w:val="en-US"/>
        </w:rPr>
        <w:t>86</w:t>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Case 12.761, </w:t>
      </w:r>
      <w:proofErr w:type="spellStart"/>
      <w:r w:rsidRPr="004F1A7B">
        <w:rPr>
          <w:rFonts w:asciiTheme="minorHAnsi" w:hAnsiTheme="minorHAnsi"/>
          <w:i/>
          <w:color w:val="404040" w:themeColor="text1" w:themeTint="BF"/>
          <w:sz w:val="16"/>
          <w:szCs w:val="16"/>
          <w:lang w:val="en-US"/>
        </w:rPr>
        <w:t>Garífuna</w:t>
      </w:r>
      <w:proofErr w:type="spellEnd"/>
      <w:r w:rsidRPr="004F1A7B">
        <w:rPr>
          <w:rFonts w:asciiTheme="minorHAnsi" w:hAnsiTheme="minorHAnsi"/>
          <w:i/>
          <w:color w:val="404040" w:themeColor="text1" w:themeTint="BF"/>
          <w:sz w:val="16"/>
          <w:szCs w:val="16"/>
          <w:lang w:val="en-US"/>
        </w:rPr>
        <w:t xml:space="preserve"> Community Punta Piedra and its members, Honduras</w:t>
      </w:r>
      <w:r w:rsidRPr="004F1A7B">
        <w:rPr>
          <w:rFonts w:asciiTheme="minorHAnsi" w:hAnsiTheme="minorHAnsi"/>
          <w:color w:val="404040" w:themeColor="text1" w:themeTint="BF"/>
          <w:sz w:val="16"/>
          <w:szCs w:val="16"/>
          <w:lang w:val="en-US"/>
        </w:rPr>
        <w:t xml:space="preserve">, submitted to Court on 1 July 2013; IACHR, Case 12.548, </w:t>
      </w:r>
      <w:proofErr w:type="spellStart"/>
      <w:r w:rsidRPr="004F1A7B">
        <w:rPr>
          <w:rFonts w:asciiTheme="minorHAnsi" w:hAnsiTheme="minorHAnsi"/>
          <w:i/>
          <w:color w:val="404040" w:themeColor="text1" w:themeTint="BF"/>
          <w:sz w:val="16"/>
          <w:szCs w:val="16"/>
          <w:lang w:val="en-US"/>
        </w:rPr>
        <w:t>Garífuna</w:t>
      </w:r>
      <w:proofErr w:type="spellEnd"/>
      <w:r w:rsidRPr="004F1A7B">
        <w:rPr>
          <w:rFonts w:asciiTheme="minorHAnsi" w:hAnsiTheme="minorHAnsi"/>
          <w:i/>
          <w:color w:val="404040" w:themeColor="text1" w:themeTint="BF"/>
          <w:sz w:val="16"/>
          <w:szCs w:val="16"/>
          <w:lang w:val="en-US"/>
        </w:rPr>
        <w:t xml:space="preserve"> Community of </w:t>
      </w:r>
      <w:proofErr w:type="spellStart"/>
      <w:r w:rsidRPr="004F1A7B">
        <w:rPr>
          <w:rFonts w:asciiTheme="minorHAnsi" w:hAnsiTheme="minorHAnsi"/>
          <w:i/>
          <w:color w:val="404040" w:themeColor="text1" w:themeTint="BF"/>
          <w:sz w:val="16"/>
          <w:szCs w:val="16"/>
          <w:lang w:val="en-US"/>
        </w:rPr>
        <w:t>Triunfo</w:t>
      </w:r>
      <w:proofErr w:type="spellEnd"/>
      <w:r w:rsidRPr="004F1A7B">
        <w:rPr>
          <w:rFonts w:asciiTheme="minorHAnsi" w:hAnsiTheme="minorHAnsi"/>
          <w:i/>
          <w:color w:val="404040" w:themeColor="text1" w:themeTint="BF"/>
          <w:sz w:val="16"/>
          <w:szCs w:val="16"/>
          <w:lang w:val="en-US"/>
        </w:rPr>
        <w:t xml:space="preserve"> de la Cruz and its Members</w:t>
      </w:r>
      <w:r w:rsidRPr="004F1A7B">
        <w:rPr>
          <w:rFonts w:asciiTheme="minorHAnsi" w:hAnsiTheme="minorHAnsi"/>
          <w:color w:val="404040" w:themeColor="text1" w:themeTint="BF"/>
          <w:sz w:val="16"/>
          <w:szCs w:val="16"/>
          <w:lang w:val="en-US"/>
        </w:rPr>
        <w:t xml:space="preserve">, Honduras, submitted to Court on 21 February 2013. </w:t>
      </w:r>
    </w:p>
  </w:footnote>
  <w:footnote w:id="33">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On December 24, 2013, the IACHR requested the adoption of precautionary measures on behalf of Adonis Romero and several community leaders and human rights defenders due to the alleged situation of risk developing in the area. According to the information received, eight leaders were displaced from their communities because of violent threats against their lives. IACHR, Precautionary Measure No. 195-13, Leaders and Human Rights Defenders of the Nueva Esperanza Community and the Regional Board of Sector Florida, Honduras, December 24, 2013 Available at: </w:t>
      </w:r>
      <w:hyperlink r:id="rId28" w:history="1">
        <w:r w:rsidRPr="004F1A7B">
          <w:rPr>
            <w:rStyle w:val="Hipervnculo"/>
            <w:rFonts w:asciiTheme="minorHAnsi" w:hAnsiTheme="minorHAnsi"/>
            <w:color w:val="404040" w:themeColor="text1" w:themeTint="BF"/>
            <w:sz w:val="16"/>
            <w:szCs w:val="16"/>
            <w:u w:color="A6A6A6" w:themeColor="background1" w:themeShade="A6"/>
            <w:lang w:val="en-US"/>
          </w:rPr>
          <w:t>www.oas.org/en/iachr/</w:t>
        </w:r>
      </w:hyperlink>
      <w:r w:rsidRPr="004F1A7B">
        <w:rPr>
          <w:rStyle w:val="Hipervnculo"/>
          <w:rFonts w:asciiTheme="minorHAnsi" w:hAnsiTheme="minorHAnsi"/>
          <w:color w:val="404040" w:themeColor="text1" w:themeTint="BF"/>
          <w:sz w:val="16"/>
          <w:szCs w:val="16"/>
          <w:u w:val="none" w:color="BFBFBF" w:themeColor="background1" w:themeShade="BF"/>
          <w:lang w:val="en-US"/>
        </w:rPr>
        <w:t>.</w:t>
      </w:r>
      <w:r w:rsidRPr="004F1A7B">
        <w:rPr>
          <w:rFonts w:asciiTheme="minorHAnsi" w:hAnsiTheme="minorHAnsi"/>
          <w:color w:val="404040" w:themeColor="text1" w:themeTint="BF"/>
          <w:sz w:val="16"/>
          <w:szCs w:val="16"/>
          <w:lang w:val="en-US"/>
        </w:rPr>
        <w:t xml:space="preserve"> </w:t>
      </w:r>
    </w:p>
  </w:footnote>
  <w:footnote w:id="34">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Martín Gómez Vázquez, Félix de Benítez, Pedro Amaya, Calixto Vázquez, Juan Bautista and July González received death threats from supporters of the hydroelectric dam, </w:t>
      </w:r>
      <w:proofErr w:type="gramStart"/>
      <w:r w:rsidRPr="004F1A7B">
        <w:rPr>
          <w:rFonts w:asciiTheme="minorHAnsi" w:hAnsiTheme="minorHAnsi"/>
          <w:color w:val="404040" w:themeColor="text1" w:themeTint="BF"/>
          <w:sz w:val="16"/>
          <w:szCs w:val="16"/>
          <w:lang w:val="en-US"/>
        </w:rPr>
        <w:t>in order to</w:t>
      </w:r>
      <w:proofErr w:type="gramEnd"/>
      <w:r w:rsidRPr="004F1A7B">
        <w:rPr>
          <w:rFonts w:asciiTheme="minorHAnsi" w:hAnsiTheme="minorHAnsi"/>
          <w:color w:val="404040" w:themeColor="text1" w:themeTint="BF"/>
          <w:sz w:val="16"/>
          <w:szCs w:val="16"/>
          <w:lang w:val="en-US"/>
        </w:rPr>
        <w:t xml:space="preserve"> deter the opposition. Their homes are under surveillance. Peace Brigades International – Honduras Project, </w:t>
      </w:r>
      <w:r w:rsidRPr="004F1A7B">
        <w:rPr>
          <w:rFonts w:asciiTheme="minorHAnsi" w:hAnsiTheme="minorHAnsi"/>
          <w:i/>
          <w:color w:val="404040" w:themeColor="text1" w:themeTint="BF"/>
          <w:sz w:val="16"/>
          <w:szCs w:val="16"/>
          <w:lang w:val="en-US"/>
        </w:rPr>
        <w:t>On International Human Rights Day PBI Honduras urges the International Community to Monitor the Security Situation of Small Scale Farmers and Indigenous Peoples in the Municipality of Santa Elena, Department of La Paz, Honduras</w:t>
      </w:r>
      <w:r w:rsidRPr="004F1A7B">
        <w:rPr>
          <w:rFonts w:asciiTheme="minorHAnsi" w:hAnsiTheme="minorHAnsi"/>
          <w:color w:val="404040" w:themeColor="text1" w:themeTint="BF"/>
          <w:sz w:val="16"/>
          <w:szCs w:val="16"/>
          <w:lang w:val="en-US"/>
        </w:rPr>
        <w:t xml:space="preserve">, December 2014. Available at: </w:t>
      </w:r>
      <w:hyperlink r:id="rId29" w:history="1">
        <w:r w:rsidRPr="004F1A7B">
          <w:rPr>
            <w:rStyle w:val="Hipervnculo"/>
            <w:rFonts w:asciiTheme="minorHAnsi" w:hAnsiTheme="minorHAnsi"/>
            <w:color w:val="404040" w:themeColor="text1" w:themeTint="BF"/>
            <w:sz w:val="16"/>
            <w:szCs w:val="16"/>
            <w:u w:color="A6A6A6" w:themeColor="background1" w:themeShade="A6"/>
            <w:lang w:val="en-US"/>
          </w:rPr>
          <w:t>http://www.pbi-honduras.org/fileadmin/user_files/projects/honduras/–Publi–cations/Pbi_Honduras_briefing_Santa_Elena_10_December_2014__EN.pdf</w:t>
        </w:r>
      </w:hyperlink>
      <w:r w:rsidRPr="004F1A7B">
        <w:rPr>
          <w:rStyle w:val="Hipervnculo"/>
          <w:rFonts w:asciiTheme="minorHAnsi" w:hAnsiTheme="minorHAnsi"/>
          <w:color w:val="404040" w:themeColor="text1" w:themeTint="BF"/>
          <w:sz w:val="16"/>
          <w:szCs w:val="16"/>
          <w:u w:val="none" w:color="BFBFBF" w:themeColor="background1" w:themeShade="BF"/>
          <w:lang w:val="en-US"/>
        </w:rPr>
        <w:t>.</w:t>
      </w:r>
    </w:p>
  </w:footnote>
  <w:footnote w:id="35">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According to publicly available information on May 24, 2014, William </w:t>
      </w:r>
      <w:proofErr w:type="spellStart"/>
      <w:r w:rsidRPr="004F1A7B">
        <w:rPr>
          <w:rFonts w:asciiTheme="minorHAnsi" w:hAnsiTheme="minorHAnsi"/>
          <w:color w:val="404040" w:themeColor="text1" w:themeTint="BF"/>
          <w:sz w:val="16"/>
          <w:szCs w:val="16"/>
          <w:lang w:val="en-US"/>
        </w:rPr>
        <w:t>Jacobo</w:t>
      </w:r>
      <w:proofErr w:type="spellEnd"/>
      <w:r w:rsidRPr="004F1A7B">
        <w:rPr>
          <w:rFonts w:asciiTheme="minorHAnsi" w:hAnsiTheme="minorHAnsi"/>
          <w:color w:val="404040" w:themeColor="text1" w:themeTint="BF"/>
          <w:sz w:val="16"/>
          <w:szCs w:val="16"/>
          <w:lang w:val="en-US"/>
        </w:rPr>
        <w:t xml:space="preserve"> Rodríguez –a defender from Rio </w:t>
      </w:r>
      <w:proofErr w:type="spellStart"/>
      <w:r w:rsidRPr="004F1A7B">
        <w:rPr>
          <w:rFonts w:asciiTheme="minorHAnsi" w:hAnsiTheme="minorHAnsi"/>
          <w:color w:val="404040" w:themeColor="text1" w:themeTint="BF"/>
          <w:sz w:val="16"/>
          <w:szCs w:val="16"/>
          <w:lang w:val="en-US"/>
        </w:rPr>
        <w:t>Gualcarque</w:t>
      </w:r>
      <w:proofErr w:type="spellEnd"/>
      <w:r w:rsidRPr="004F1A7B">
        <w:rPr>
          <w:rFonts w:asciiTheme="minorHAnsi" w:hAnsiTheme="minorHAnsi"/>
          <w:color w:val="404040" w:themeColor="text1" w:themeTint="BF"/>
          <w:sz w:val="16"/>
          <w:szCs w:val="16"/>
          <w:lang w:val="en-US"/>
        </w:rPr>
        <w:t xml:space="preserve"> who opposed the development of the hydroelectric project Agua </w:t>
      </w:r>
      <w:proofErr w:type="spellStart"/>
      <w:r w:rsidRPr="004F1A7B">
        <w:rPr>
          <w:rFonts w:asciiTheme="minorHAnsi" w:hAnsiTheme="minorHAnsi"/>
          <w:color w:val="404040" w:themeColor="text1" w:themeTint="BF"/>
          <w:sz w:val="16"/>
          <w:szCs w:val="16"/>
          <w:lang w:val="en-US"/>
        </w:rPr>
        <w:t>Zarca</w:t>
      </w:r>
      <w:proofErr w:type="spellEnd"/>
      <w:r w:rsidRPr="004F1A7B">
        <w:rPr>
          <w:rFonts w:asciiTheme="minorHAnsi" w:hAnsiTheme="minorHAnsi"/>
          <w:color w:val="404040" w:themeColor="text1" w:themeTint="BF"/>
          <w:sz w:val="16"/>
          <w:szCs w:val="16"/>
          <w:lang w:val="en-US"/>
        </w:rPr>
        <w:t xml:space="preserve">— was murdered in Rio Blanco. Local organizations reported that the same night the Police force based in Río Blanco engaged in a special operation allegedly directed against the </w:t>
      </w:r>
      <w:proofErr w:type="spellStart"/>
      <w:r w:rsidRPr="004F1A7B">
        <w:rPr>
          <w:rFonts w:asciiTheme="minorHAnsi" w:hAnsiTheme="minorHAnsi"/>
          <w:color w:val="404040" w:themeColor="text1" w:themeTint="BF"/>
          <w:sz w:val="16"/>
          <w:szCs w:val="16"/>
          <w:lang w:val="en-US"/>
        </w:rPr>
        <w:t>Lenca</w:t>
      </w:r>
      <w:proofErr w:type="spellEnd"/>
      <w:r w:rsidRPr="004F1A7B">
        <w:rPr>
          <w:rFonts w:asciiTheme="minorHAnsi" w:hAnsiTheme="minorHAnsi"/>
          <w:color w:val="404040" w:themeColor="text1" w:themeTint="BF"/>
          <w:sz w:val="16"/>
          <w:szCs w:val="16"/>
          <w:lang w:val="en-US"/>
        </w:rPr>
        <w:t xml:space="preserve"> people. </w:t>
      </w:r>
      <w:proofErr w:type="gramStart"/>
      <w:r w:rsidRPr="004F1A7B">
        <w:rPr>
          <w:rFonts w:asciiTheme="minorHAnsi" w:hAnsiTheme="minorHAnsi"/>
          <w:color w:val="404040" w:themeColor="text1" w:themeTint="BF"/>
          <w:sz w:val="16"/>
          <w:szCs w:val="16"/>
          <w:lang w:val="en-US"/>
        </w:rPr>
        <w:t>During the course of</w:t>
      </w:r>
      <w:proofErr w:type="gramEnd"/>
      <w:r w:rsidRPr="004F1A7B">
        <w:rPr>
          <w:rFonts w:asciiTheme="minorHAnsi" w:hAnsiTheme="minorHAnsi"/>
          <w:color w:val="404040" w:themeColor="text1" w:themeTint="BF"/>
          <w:sz w:val="16"/>
          <w:szCs w:val="16"/>
          <w:lang w:val="en-US"/>
        </w:rPr>
        <w:t xml:space="preserve"> this operation, they arbitrarily and violently arrested </w:t>
      </w:r>
      <w:proofErr w:type="spellStart"/>
      <w:r w:rsidRPr="004F1A7B">
        <w:rPr>
          <w:rFonts w:asciiTheme="minorHAnsi" w:hAnsiTheme="minorHAnsi"/>
          <w:color w:val="404040" w:themeColor="text1" w:themeTint="BF"/>
          <w:sz w:val="16"/>
          <w:szCs w:val="16"/>
          <w:lang w:val="en-US"/>
        </w:rPr>
        <w:t>Lindolfo</w:t>
      </w:r>
      <w:proofErr w:type="spellEnd"/>
      <w:r w:rsidRPr="004F1A7B">
        <w:rPr>
          <w:rFonts w:asciiTheme="minorHAnsi" w:hAnsiTheme="minorHAnsi"/>
          <w:color w:val="404040" w:themeColor="text1" w:themeTint="BF"/>
          <w:sz w:val="16"/>
          <w:szCs w:val="16"/>
          <w:lang w:val="en-US"/>
        </w:rPr>
        <w:t xml:space="preserve"> Benitez and Salvador Sanchez, both COPINH members, who were allegedly tortured. It was also alleged that the President of the Indigenous Council of Río Blanco and member of the General Coordination of COPINH, Francisco Javier Sanchez, and some children received death threats from the Police. Also, according to information received, on May 25, 2014, in the municipality of San Francisco de </w:t>
      </w:r>
      <w:proofErr w:type="spellStart"/>
      <w:r w:rsidRPr="004F1A7B">
        <w:rPr>
          <w:rFonts w:asciiTheme="minorHAnsi" w:hAnsiTheme="minorHAnsi"/>
          <w:color w:val="404040" w:themeColor="text1" w:themeTint="BF"/>
          <w:sz w:val="16"/>
          <w:szCs w:val="16"/>
          <w:lang w:val="en-US"/>
        </w:rPr>
        <w:t>Opalaca</w:t>
      </w:r>
      <w:proofErr w:type="spellEnd"/>
      <w:r w:rsidRPr="004F1A7B">
        <w:rPr>
          <w:rFonts w:asciiTheme="minorHAnsi" w:hAnsiTheme="minorHAnsi"/>
          <w:color w:val="404040" w:themeColor="text1" w:themeTint="BF"/>
          <w:sz w:val="16"/>
          <w:szCs w:val="16"/>
          <w:lang w:val="en-US"/>
        </w:rPr>
        <w:t>, Intibucá, Irene Meza and Plutarco Bonilla, members of COPINH, were shot by three men allegedly employed by the Mayor of the Municipality. On their way to hospital, they were intercepted again by a group of gunmen who shot at them, killing Mr. Meza.</w:t>
      </w:r>
    </w:p>
  </w:footnote>
  <w:footnote w:id="36">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State of Honduras. Note No. 1277-DGPE/DPM-14, November 3, 2014.</w:t>
      </w:r>
    </w:p>
  </w:footnote>
  <w:footnote w:id="37">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Peace Brigades International – Honduras Project, </w:t>
      </w:r>
      <w:r w:rsidRPr="004F1A7B">
        <w:rPr>
          <w:rFonts w:asciiTheme="minorHAnsi" w:hAnsiTheme="minorHAnsi"/>
          <w:i/>
          <w:color w:val="404040" w:themeColor="text1" w:themeTint="BF"/>
          <w:sz w:val="16"/>
          <w:szCs w:val="16"/>
          <w:lang w:val="en-US"/>
        </w:rPr>
        <w:t>On International Human Rights Day PBI Honduras urges the International Community to Monitor the Security Situation of Small Scale Farmers and Indigenous Peoples in the Municipality of Santa Elena, Department of La Paz, Honduras</w:t>
      </w:r>
      <w:r w:rsidRPr="004F1A7B">
        <w:rPr>
          <w:rFonts w:asciiTheme="minorHAnsi" w:hAnsiTheme="minorHAnsi"/>
          <w:color w:val="404040" w:themeColor="text1" w:themeTint="BF"/>
          <w:sz w:val="16"/>
          <w:szCs w:val="16"/>
          <w:lang w:val="en-US"/>
        </w:rPr>
        <w:t xml:space="preserve">, December 2014. Available at: </w:t>
      </w:r>
      <w:hyperlink r:id="rId30" w:history="1">
        <w:r w:rsidRPr="004F1A7B">
          <w:rPr>
            <w:rStyle w:val="Hipervnculo"/>
            <w:rFonts w:asciiTheme="minorHAnsi" w:hAnsiTheme="minorHAnsi"/>
            <w:color w:val="404040" w:themeColor="text1" w:themeTint="BF"/>
            <w:sz w:val="16"/>
            <w:szCs w:val="16"/>
            <w:u w:color="A6A6A6" w:themeColor="background1" w:themeShade="A6"/>
            <w:lang w:val="en-US"/>
          </w:rPr>
          <w:t>http:–//www.pbi-honduras.org/fileadmin/user_files/projects/honduras/Publications/Pbi_Honduras_briefing–_Sa–nta_Elena_10_December_2014__EN.pdf</w:t>
        </w:r>
      </w:hyperlink>
      <w:r w:rsidRPr="004F1A7B">
        <w:rPr>
          <w:rFonts w:asciiTheme="minorHAnsi" w:hAnsiTheme="minorHAnsi"/>
          <w:color w:val="404040" w:themeColor="text1" w:themeTint="BF"/>
          <w:sz w:val="16"/>
          <w:szCs w:val="16"/>
          <w:lang w:val="en-US"/>
        </w:rPr>
        <w:t xml:space="preserve"> </w:t>
      </w:r>
    </w:p>
  </w:footnote>
  <w:footnote w:id="38">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cs="Arial"/>
          <w:i/>
          <w:color w:val="404040" w:themeColor="text1" w:themeTint="BF"/>
          <w:sz w:val="16"/>
          <w:szCs w:val="16"/>
          <w:lang w:val="en-US"/>
        </w:rPr>
        <w:t xml:space="preserve">Second Report </w:t>
      </w:r>
      <w:proofErr w:type="gramStart"/>
      <w:r w:rsidRPr="004F1A7B">
        <w:rPr>
          <w:rFonts w:asciiTheme="minorHAnsi" w:hAnsiTheme="minorHAnsi" w:cs="Arial"/>
          <w:i/>
          <w:color w:val="404040" w:themeColor="text1" w:themeTint="BF"/>
          <w:sz w:val="16"/>
          <w:szCs w:val="16"/>
          <w:lang w:val="en-US"/>
        </w:rPr>
        <w:t>on the Situation of</w:t>
      </w:r>
      <w:proofErr w:type="gramEnd"/>
      <w:r w:rsidRPr="004F1A7B">
        <w:rPr>
          <w:rFonts w:asciiTheme="minorHAnsi" w:hAnsiTheme="minorHAnsi" w:cs="Arial"/>
          <w:i/>
          <w:color w:val="404040" w:themeColor="text1" w:themeTint="BF"/>
          <w:sz w:val="16"/>
          <w:szCs w:val="16"/>
          <w:lang w:val="en-US"/>
        </w:rPr>
        <w:t xml:space="preserve"> Human Rights Defenders in the Americas</w:t>
      </w:r>
      <w:r w:rsidRPr="004F1A7B">
        <w:rPr>
          <w:rFonts w:asciiTheme="minorHAnsi" w:hAnsiTheme="minorHAnsi"/>
          <w:color w:val="404040" w:themeColor="text1" w:themeTint="BF"/>
          <w:sz w:val="16"/>
          <w:szCs w:val="16"/>
          <w:lang w:val="en-US"/>
        </w:rPr>
        <w:t xml:space="preserve">, </w:t>
      </w:r>
      <w:r w:rsidRPr="004F1A7B">
        <w:rPr>
          <w:rFonts w:asciiTheme="minorHAnsi" w:eastAsia="Times New Roman" w:hAnsiTheme="minorHAnsi"/>
          <w:color w:val="404040" w:themeColor="text1" w:themeTint="BF"/>
          <w:sz w:val="16"/>
          <w:szCs w:val="16"/>
          <w:lang w:val="en-US"/>
        </w:rPr>
        <w:t>OEA/</w:t>
      </w:r>
      <w:proofErr w:type="spellStart"/>
      <w:r w:rsidRPr="004F1A7B">
        <w:rPr>
          <w:rFonts w:asciiTheme="minorHAnsi" w:eastAsia="Times New Roman" w:hAnsiTheme="minorHAnsi"/>
          <w:color w:val="404040" w:themeColor="text1" w:themeTint="BF"/>
          <w:sz w:val="16"/>
          <w:szCs w:val="16"/>
          <w:lang w:val="en-US"/>
        </w:rPr>
        <w:t>Ser.L</w:t>
      </w:r>
      <w:proofErr w:type="spellEnd"/>
      <w:r w:rsidRPr="004F1A7B">
        <w:rPr>
          <w:rFonts w:asciiTheme="minorHAnsi" w:eastAsia="Times New Roman" w:hAnsiTheme="minorHAnsi"/>
          <w:color w:val="404040" w:themeColor="text1" w:themeTint="BF"/>
          <w:sz w:val="16"/>
          <w:szCs w:val="16"/>
          <w:lang w:val="en-US"/>
        </w:rPr>
        <w:t>/V/II.</w:t>
      </w:r>
      <w:r w:rsidRPr="004F1A7B">
        <w:rPr>
          <w:rFonts w:asciiTheme="minorHAnsi" w:hAnsiTheme="minorHAnsi"/>
          <w:color w:val="404040" w:themeColor="text1" w:themeTint="BF"/>
          <w:sz w:val="16"/>
          <w:szCs w:val="16"/>
          <w:lang w:val="en-US"/>
        </w:rPr>
        <w:t xml:space="preserve"> </w:t>
      </w:r>
      <w:r w:rsidRPr="004F1A7B">
        <w:rPr>
          <w:rFonts w:asciiTheme="minorHAnsi" w:eastAsia="Times New Roman" w:hAnsiTheme="minorHAnsi"/>
          <w:color w:val="404040" w:themeColor="text1" w:themeTint="BF"/>
          <w:sz w:val="16"/>
          <w:szCs w:val="16"/>
          <w:lang w:val="en-US"/>
        </w:rPr>
        <w:t>Doc. 66</w:t>
      </w:r>
      <w:r w:rsidRPr="004F1A7B">
        <w:rPr>
          <w:rFonts w:asciiTheme="minorHAnsi" w:hAnsiTheme="minorHAnsi"/>
          <w:color w:val="404040" w:themeColor="text1" w:themeTint="BF"/>
          <w:sz w:val="16"/>
          <w:szCs w:val="16"/>
          <w:lang w:val="en-US"/>
        </w:rPr>
        <w:t xml:space="preserve">, </w:t>
      </w:r>
      <w:r w:rsidRPr="004F1A7B">
        <w:rPr>
          <w:rFonts w:asciiTheme="minorHAnsi" w:eastAsia="Times New Roman" w:hAnsiTheme="minorHAnsi"/>
          <w:color w:val="404040" w:themeColor="text1" w:themeTint="BF"/>
          <w:sz w:val="16"/>
          <w:szCs w:val="16"/>
          <w:lang w:val="en-US"/>
        </w:rPr>
        <w:t>December 31, 2011</w:t>
      </w:r>
      <w:r w:rsidRPr="004F1A7B">
        <w:rPr>
          <w:rFonts w:asciiTheme="minorHAnsi" w:hAnsiTheme="minorHAnsi"/>
          <w:color w:val="404040" w:themeColor="text1" w:themeTint="BF"/>
          <w:sz w:val="16"/>
          <w:szCs w:val="16"/>
          <w:lang w:val="en-US"/>
        </w:rPr>
        <w:t xml:space="preserve">, para. 120. Available at: </w:t>
      </w:r>
      <w:hyperlink r:id="rId31" w:history="1">
        <w:r w:rsidRPr="004F1A7B">
          <w:rPr>
            <w:rStyle w:val="Hipervnculo"/>
            <w:rFonts w:asciiTheme="minorHAnsi" w:hAnsiTheme="minorHAnsi"/>
            <w:color w:val="404040" w:themeColor="text1" w:themeTint="BF"/>
            <w:sz w:val="16"/>
            <w:szCs w:val="16"/>
            <w:u w:color="A6A6A6" w:themeColor="background1" w:themeShade="A6"/>
            <w:lang w:val="en-US"/>
          </w:rPr>
          <w:t>http://www.oas.org/en/iachr/defenders/docs/pdf/defe–nders2011.pdf</w:t>
        </w:r>
      </w:hyperlink>
      <w:r w:rsidRPr="004F1A7B">
        <w:rPr>
          <w:rFonts w:asciiTheme="minorHAnsi" w:hAnsiTheme="minorHAnsi"/>
          <w:color w:val="404040" w:themeColor="text1" w:themeTint="BF"/>
          <w:sz w:val="16"/>
          <w:szCs w:val="16"/>
          <w:lang w:val="en-US"/>
        </w:rPr>
        <w:t xml:space="preserve"> IACHR, Report on the Merits No. 43/96, Case 11.430, </w:t>
      </w:r>
      <w:r w:rsidRPr="004F1A7B">
        <w:rPr>
          <w:rFonts w:asciiTheme="minorHAnsi" w:hAnsiTheme="minorHAnsi"/>
          <w:i/>
          <w:color w:val="404040" w:themeColor="text1" w:themeTint="BF"/>
          <w:sz w:val="16"/>
          <w:szCs w:val="16"/>
          <w:lang w:val="en-US"/>
        </w:rPr>
        <w:t>José Francisco Gallardo (Mexico</w:t>
      </w:r>
      <w:r w:rsidRPr="004F1A7B">
        <w:rPr>
          <w:rFonts w:asciiTheme="minorHAnsi" w:hAnsiTheme="minorHAnsi"/>
          <w:color w:val="404040" w:themeColor="text1" w:themeTint="BF"/>
          <w:sz w:val="16"/>
          <w:szCs w:val="16"/>
          <w:lang w:val="en-US"/>
        </w:rPr>
        <w:t>), October 15, 1996, para. 79.</w:t>
      </w:r>
    </w:p>
  </w:footnote>
  <w:footnote w:id="39">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CB2D48">
        <w:rPr>
          <w:rFonts w:asciiTheme="minorHAnsi" w:hAnsiTheme="minorHAnsi" w:cs="Arial"/>
          <w:i/>
          <w:color w:val="404040" w:themeColor="text1" w:themeTint="BF"/>
          <w:sz w:val="16"/>
          <w:szCs w:val="16"/>
          <w:lang w:val="en-US"/>
        </w:rPr>
        <w:t xml:space="preserve">Second Report </w:t>
      </w:r>
      <w:proofErr w:type="gramStart"/>
      <w:r w:rsidRPr="00CB2D48">
        <w:rPr>
          <w:rFonts w:asciiTheme="minorHAnsi" w:hAnsiTheme="minorHAnsi" w:cs="Arial"/>
          <w:i/>
          <w:color w:val="404040" w:themeColor="text1" w:themeTint="BF"/>
          <w:sz w:val="16"/>
          <w:szCs w:val="16"/>
          <w:lang w:val="en-US"/>
        </w:rPr>
        <w:t>on the Situation of</w:t>
      </w:r>
      <w:proofErr w:type="gramEnd"/>
      <w:r w:rsidRPr="00CB2D48">
        <w:rPr>
          <w:rFonts w:asciiTheme="minorHAnsi" w:hAnsiTheme="minorHAnsi" w:cs="Arial"/>
          <w:i/>
          <w:color w:val="404040" w:themeColor="text1" w:themeTint="BF"/>
          <w:sz w:val="16"/>
          <w:szCs w:val="16"/>
          <w:lang w:val="en-US"/>
        </w:rPr>
        <w:t xml:space="preserve"> Human Rights Defenders in the Americas</w:t>
      </w:r>
      <w:r w:rsidRPr="00CB2D48">
        <w:rPr>
          <w:rFonts w:asciiTheme="minorHAnsi" w:hAnsiTheme="minorHAnsi"/>
          <w:color w:val="404040" w:themeColor="text1" w:themeTint="BF"/>
          <w:sz w:val="16"/>
          <w:szCs w:val="16"/>
          <w:lang w:val="en-US"/>
        </w:rPr>
        <w:t>,</w:t>
      </w:r>
      <w:r w:rsidRPr="004F1A7B">
        <w:rPr>
          <w:rFonts w:asciiTheme="minorHAnsi" w:hAnsiTheme="minorHAnsi"/>
          <w:color w:val="404040" w:themeColor="text1" w:themeTint="BF"/>
          <w:sz w:val="16"/>
          <w:szCs w:val="16"/>
          <w:lang w:val="en-US"/>
        </w:rPr>
        <w:t xml:space="preserve"> </w:t>
      </w:r>
      <w:r w:rsidRPr="004F1A7B">
        <w:rPr>
          <w:rFonts w:asciiTheme="minorHAnsi" w:eastAsia="Times New Roman" w:hAnsiTheme="minorHAnsi"/>
          <w:color w:val="404040" w:themeColor="text1" w:themeTint="BF"/>
          <w:sz w:val="16"/>
          <w:szCs w:val="16"/>
          <w:lang w:val="en-US"/>
        </w:rPr>
        <w:t>OEA/</w:t>
      </w:r>
      <w:proofErr w:type="spellStart"/>
      <w:r w:rsidRPr="004F1A7B">
        <w:rPr>
          <w:rFonts w:asciiTheme="minorHAnsi" w:eastAsia="Times New Roman" w:hAnsiTheme="minorHAnsi"/>
          <w:color w:val="404040" w:themeColor="text1" w:themeTint="BF"/>
          <w:sz w:val="16"/>
          <w:szCs w:val="16"/>
          <w:lang w:val="en-US"/>
        </w:rPr>
        <w:t>Ser.L</w:t>
      </w:r>
      <w:proofErr w:type="spellEnd"/>
      <w:r w:rsidRPr="004F1A7B">
        <w:rPr>
          <w:rFonts w:asciiTheme="minorHAnsi" w:eastAsia="Times New Roman" w:hAnsiTheme="minorHAnsi"/>
          <w:color w:val="404040" w:themeColor="text1" w:themeTint="BF"/>
          <w:sz w:val="16"/>
          <w:szCs w:val="16"/>
          <w:lang w:val="en-US"/>
        </w:rPr>
        <w:t>/V/II.</w:t>
      </w:r>
      <w:r w:rsidRPr="004F1A7B">
        <w:rPr>
          <w:rFonts w:asciiTheme="minorHAnsi" w:hAnsiTheme="minorHAnsi"/>
          <w:color w:val="404040" w:themeColor="text1" w:themeTint="BF"/>
          <w:sz w:val="16"/>
          <w:szCs w:val="16"/>
          <w:lang w:val="en-US"/>
        </w:rPr>
        <w:t xml:space="preserve"> </w:t>
      </w:r>
      <w:r w:rsidRPr="004F1A7B">
        <w:rPr>
          <w:rFonts w:asciiTheme="minorHAnsi" w:eastAsia="Times New Roman" w:hAnsiTheme="minorHAnsi"/>
          <w:color w:val="404040" w:themeColor="text1" w:themeTint="BF"/>
          <w:sz w:val="16"/>
          <w:szCs w:val="16"/>
          <w:lang w:val="en-US"/>
        </w:rPr>
        <w:t>Doc. 66</w:t>
      </w:r>
      <w:r w:rsidRPr="004F1A7B">
        <w:rPr>
          <w:rFonts w:asciiTheme="minorHAnsi" w:hAnsiTheme="minorHAnsi"/>
          <w:color w:val="404040" w:themeColor="text1" w:themeTint="BF"/>
          <w:sz w:val="16"/>
          <w:szCs w:val="16"/>
          <w:lang w:val="en-US"/>
        </w:rPr>
        <w:t xml:space="preserve">, </w:t>
      </w:r>
      <w:r w:rsidRPr="004F1A7B">
        <w:rPr>
          <w:rFonts w:asciiTheme="minorHAnsi" w:eastAsia="Times New Roman" w:hAnsiTheme="minorHAnsi"/>
          <w:color w:val="404040" w:themeColor="text1" w:themeTint="BF"/>
          <w:sz w:val="16"/>
          <w:szCs w:val="16"/>
          <w:lang w:val="en-US"/>
        </w:rPr>
        <w:t>December 31, 2011</w:t>
      </w:r>
      <w:r w:rsidRPr="004F1A7B">
        <w:rPr>
          <w:rFonts w:asciiTheme="minorHAnsi" w:hAnsiTheme="minorHAnsi"/>
          <w:color w:val="404040" w:themeColor="text1" w:themeTint="BF"/>
          <w:sz w:val="16"/>
          <w:szCs w:val="16"/>
          <w:lang w:val="en-US"/>
        </w:rPr>
        <w:t xml:space="preserve">, para. 120. Available at: </w:t>
      </w:r>
      <w:hyperlink r:id="rId32" w:history="1">
        <w:r w:rsidRPr="004F1A7B">
          <w:rPr>
            <w:rStyle w:val="Hipervnculo"/>
            <w:rFonts w:asciiTheme="minorHAnsi" w:hAnsiTheme="minorHAnsi"/>
            <w:color w:val="404040" w:themeColor="text1" w:themeTint="BF"/>
            <w:sz w:val="16"/>
            <w:szCs w:val="16"/>
            <w:u w:color="A6A6A6" w:themeColor="background1" w:themeShade="A6"/>
            <w:lang w:val="en-US"/>
          </w:rPr>
          <w:t>http://www.oas.org/en/iachr/defenders/docs/pdf/defen–ders2011.pdf</w:t>
        </w:r>
      </w:hyperlink>
      <w:r w:rsidRPr="004F1A7B">
        <w:rPr>
          <w:rFonts w:asciiTheme="minorHAnsi" w:hAnsiTheme="minorHAnsi"/>
          <w:color w:val="404040" w:themeColor="text1" w:themeTint="BF"/>
          <w:sz w:val="16"/>
          <w:szCs w:val="16"/>
          <w:lang w:val="en-US"/>
        </w:rPr>
        <w:t xml:space="preserve"> IACHR, Report on the Merits No. 43/96, Case 11.430, </w:t>
      </w:r>
      <w:r w:rsidRPr="004F1A7B">
        <w:rPr>
          <w:rFonts w:asciiTheme="minorHAnsi" w:hAnsiTheme="minorHAnsi"/>
          <w:i/>
          <w:color w:val="404040" w:themeColor="text1" w:themeTint="BF"/>
          <w:sz w:val="16"/>
          <w:szCs w:val="16"/>
          <w:lang w:val="en-US"/>
        </w:rPr>
        <w:t>José Francisco Gallardo (Mexico</w:t>
      </w:r>
      <w:r w:rsidRPr="004F1A7B">
        <w:rPr>
          <w:rFonts w:asciiTheme="minorHAnsi" w:hAnsiTheme="minorHAnsi"/>
          <w:color w:val="404040" w:themeColor="text1" w:themeTint="BF"/>
          <w:sz w:val="16"/>
          <w:szCs w:val="16"/>
          <w:lang w:val="en-US"/>
        </w:rPr>
        <w:t>), October 15, 1996, para. 79.</w:t>
      </w:r>
    </w:p>
  </w:footnote>
  <w:footnote w:id="40">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CB2D48">
        <w:rPr>
          <w:rFonts w:asciiTheme="minorHAnsi" w:hAnsiTheme="minorHAnsi" w:cs="Arial"/>
          <w:i/>
          <w:color w:val="404040" w:themeColor="text1" w:themeTint="BF"/>
          <w:sz w:val="16"/>
          <w:szCs w:val="16"/>
          <w:lang w:val="en-US"/>
        </w:rPr>
        <w:t xml:space="preserve">Report </w:t>
      </w:r>
      <w:proofErr w:type="gramStart"/>
      <w:r w:rsidRPr="00CB2D48">
        <w:rPr>
          <w:rFonts w:asciiTheme="minorHAnsi" w:hAnsiTheme="minorHAnsi" w:cs="Arial"/>
          <w:i/>
          <w:color w:val="404040" w:themeColor="text1" w:themeTint="BF"/>
          <w:sz w:val="16"/>
          <w:szCs w:val="16"/>
          <w:lang w:val="en-US"/>
        </w:rPr>
        <w:t>on the Situation of</w:t>
      </w:r>
      <w:proofErr w:type="gramEnd"/>
      <w:r w:rsidRPr="00CB2D48">
        <w:rPr>
          <w:rFonts w:asciiTheme="minorHAnsi" w:hAnsiTheme="minorHAnsi" w:cs="Arial"/>
          <w:i/>
          <w:color w:val="404040" w:themeColor="text1" w:themeTint="BF"/>
          <w:sz w:val="16"/>
          <w:szCs w:val="16"/>
          <w:lang w:val="en-US"/>
        </w:rPr>
        <w:t xml:space="preserve"> Human Rights Defenders in the Americas</w:t>
      </w:r>
      <w:r w:rsidRPr="004F1A7B">
        <w:rPr>
          <w:rFonts w:asciiTheme="minorHAnsi" w:hAnsiTheme="minorHAnsi"/>
          <w:i/>
          <w:color w:val="404040" w:themeColor="text1" w:themeTint="BF"/>
          <w:sz w:val="16"/>
          <w:szCs w:val="16"/>
          <w:lang w:val="en-US"/>
        </w:rPr>
        <w:t>,</w:t>
      </w:r>
      <w:r w:rsidRPr="004F1A7B">
        <w:rPr>
          <w:rFonts w:asciiTheme="minorHAnsi" w:hAnsiTheme="minorHAnsi"/>
          <w:color w:val="404040" w:themeColor="text1" w:themeTint="BF"/>
          <w:sz w:val="16"/>
          <w:szCs w:val="16"/>
          <w:lang w:val="en-US"/>
        </w:rPr>
        <w:t xml:space="preserve"> recommendation 11. </w:t>
      </w:r>
    </w:p>
  </w:footnote>
  <w:footnote w:id="41">
    <w:p w:rsidR="0086515C" w:rsidRPr="004F1A7B" w:rsidRDefault="0086515C" w:rsidP="00955D50">
      <w:pPr>
        <w:spacing w:after="40"/>
        <w:ind w:left="540" w:hanging="540"/>
        <w:jc w:val="both"/>
        <w:rPr>
          <w:rFonts w:asciiTheme="minorHAnsi" w:hAnsiTheme="minorHAnsi" w:cs="Tahoma"/>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Global </w:t>
      </w:r>
      <w:proofErr w:type="spellStart"/>
      <w:r w:rsidRPr="004F1A7B">
        <w:rPr>
          <w:rFonts w:asciiTheme="minorHAnsi" w:hAnsiTheme="minorHAnsi"/>
          <w:color w:val="404040" w:themeColor="text1" w:themeTint="BF"/>
          <w:sz w:val="16"/>
          <w:szCs w:val="16"/>
          <w:lang w:val="es-ES"/>
        </w:rPr>
        <w:t>Witness</w:t>
      </w:r>
      <w:proofErr w:type="spellEnd"/>
      <w:r w:rsidRPr="004F1A7B">
        <w:rPr>
          <w:rFonts w:asciiTheme="minorHAnsi" w:hAnsiTheme="minorHAnsi"/>
          <w:color w:val="404040" w:themeColor="text1" w:themeTint="BF"/>
          <w:sz w:val="16"/>
          <w:szCs w:val="16"/>
          <w:lang w:val="es-ES"/>
        </w:rPr>
        <w:t xml:space="preserve">, </w:t>
      </w:r>
      <w:r w:rsidRPr="004F1A7B">
        <w:rPr>
          <w:rFonts w:asciiTheme="minorHAnsi" w:hAnsiTheme="minorHAnsi"/>
          <w:i/>
          <w:color w:val="404040" w:themeColor="text1" w:themeTint="BF"/>
          <w:sz w:val="16"/>
          <w:szCs w:val="16"/>
          <w:lang w:val="es-ES"/>
        </w:rPr>
        <w:t>¿Cuántos más? El medio ambiente mortal de 2014: intimidación and asesinato de activistas ambientales and de la tierra, con Honduras en primer plano</w:t>
      </w:r>
      <w:r w:rsidRPr="004F1A7B">
        <w:rPr>
          <w:rFonts w:asciiTheme="minorHAnsi" w:hAnsiTheme="minorHAnsi"/>
          <w:color w:val="404040" w:themeColor="text1" w:themeTint="BF"/>
          <w:sz w:val="16"/>
          <w:szCs w:val="16"/>
          <w:lang w:val="es-ES"/>
        </w:rPr>
        <w:t xml:space="preserve">, p. 19. </w:t>
      </w:r>
      <w:r w:rsidRPr="004F1A7B">
        <w:rPr>
          <w:rFonts w:asciiTheme="minorHAnsi" w:hAnsiTheme="minorHAnsi"/>
          <w:color w:val="404040" w:themeColor="text1" w:themeTint="BF"/>
          <w:sz w:val="16"/>
          <w:szCs w:val="16"/>
          <w:lang w:val="en-US"/>
        </w:rPr>
        <w:t xml:space="preserve">Available at: </w:t>
      </w:r>
      <w:hyperlink r:id="rId33" w:history="1">
        <w:r w:rsidRPr="004F1A7B">
          <w:rPr>
            <w:rStyle w:val="Hipervnculo"/>
            <w:rFonts w:asciiTheme="minorHAnsi" w:hAnsiTheme="minorHAnsi"/>
            <w:color w:val="404040" w:themeColor="text1" w:themeTint="BF"/>
            <w:sz w:val="16"/>
            <w:szCs w:val="16"/>
            <w:u w:color="A6A6A6" w:themeColor="background1" w:themeShade="A6"/>
            <w:lang w:val="en-US"/>
          </w:rPr>
          <w:t>https://www.global–witness.org/campaigns/environmental-activists/cuantos-mas/</w:t>
        </w:r>
      </w:hyperlink>
      <w:r w:rsidRPr="004F1A7B">
        <w:rPr>
          <w:rFonts w:asciiTheme="minorHAnsi" w:hAnsiTheme="minorHAnsi"/>
          <w:color w:val="404040" w:themeColor="text1" w:themeTint="BF"/>
          <w:sz w:val="16"/>
          <w:szCs w:val="16"/>
          <w:lang w:val="en-US"/>
        </w:rPr>
        <w:t xml:space="preserve">. </w:t>
      </w:r>
      <w:proofErr w:type="gramStart"/>
      <w:r w:rsidRPr="004F1A7B">
        <w:rPr>
          <w:rFonts w:asciiTheme="minorHAnsi" w:hAnsiTheme="minorHAnsi" w:cs="Tahoma"/>
          <w:color w:val="404040" w:themeColor="text1" w:themeTint="BF"/>
          <w:sz w:val="16"/>
          <w:szCs w:val="16"/>
          <w:lang w:val="en-US"/>
        </w:rPr>
        <w:t>In regard to</w:t>
      </w:r>
      <w:proofErr w:type="gramEnd"/>
      <w:r w:rsidRPr="004F1A7B">
        <w:rPr>
          <w:rFonts w:asciiTheme="minorHAnsi" w:hAnsiTheme="minorHAnsi" w:cs="Tahoma"/>
          <w:color w:val="404040" w:themeColor="text1" w:themeTint="BF"/>
          <w:sz w:val="16"/>
          <w:szCs w:val="16"/>
          <w:lang w:val="en-US"/>
        </w:rPr>
        <w:t xml:space="preserve"> Miriam Miranda on September 16, 2011, the IACHR granted precautionary measures on her behalf. The request for precautionary measure alleges that Miriam Miranda has been subjected to threats and harassment because of her work defending the rights of Garifuna communities in Honduras, MC 322-11.</w:t>
      </w:r>
    </w:p>
  </w:footnote>
  <w:footnote w:id="42">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International Work Group for Indigenous Affairs, </w:t>
      </w:r>
      <w:r w:rsidRPr="004F1A7B">
        <w:rPr>
          <w:rFonts w:asciiTheme="minorHAnsi" w:hAnsiTheme="minorHAnsi"/>
          <w:i/>
          <w:color w:val="404040" w:themeColor="text1" w:themeTint="BF"/>
          <w:sz w:val="16"/>
          <w:szCs w:val="16"/>
          <w:lang w:val="en-US"/>
        </w:rPr>
        <w:t>The Indigenous World 2015</w:t>
      </w:r>
      <w:r w:rsidRPr="004F1A7B">
        <w:rPr>
          <w:rFonts w:asciiTheme="minorHAnsi" w:hAnsiTheme="minorHAnsi"/>
          <w:color w:val="404040" w:themeColor="text1" w:themeTint="BF"/>
          <w:sz w:val="16"/>
          <w:szCs w:val="16"/>
          <w:lang w:val="en-US"/>
        </w:rPr>
        <w:t xml:space="preserve">, April 2015, p. 92. Available at: </w:t>
      </w:r>
      <w:hyperlink r:id="rId34" w:history="1">
        <w:r w:rsidRPr="004F1A7B">
          <w:rPr>
            <w:rStyle w:val="Hipervnculo"/>
            <w:rFonts w:asciiTheme="minorHAnsi" w:hAnsiTheme="minorHAnsi"/>
            <w:color w:val="404040" w:themeColor="text1" w:themeTint="BF"/>
            <w:sz w:val="16"/>
            <w:szCs w:val="16"/>
            <w:u w:color="A6A6A6" w:themeColor="background1" w:themeShade="A6"/>
            <w:lang w:val="en-US"/>
          </w:rPr>
          <w:t>http://www.iwgia.org/iwgia_files_publications_files/0716_THE_INDIGENOUS_ORLD_2015_eb.pdf</w:t>
        </w:r>
      </w:hyperlink>
      <w:r w:rsidRPr="004F1A7B">
        <w:rPr>
          <w:rFonts w:asciiTheme="minorHAnsi" w:hAnsiTheme="minorHAnsi"/>
          <w:color w:val="404040" w:themeColor="text1" w:themeTint="BF"/>
          <w:sz w:val="16"/>
          <w:szCs w:val="16"/>
          <w:lang w:val="en-US"/>
        </w:rPr>
        <w:t xml:space="preserve"> </w:t>
      </w:r>
    </w:p>
  </w:footnote>
  <w:footnote w:id="43">
    <w:p w:rsidR="0086515C" w:rsidRPr="004F1A7B" w:rsidRDefault="0086515C" w:rsidP="00955D50">
      <w:pPr>
        <w:pStyle w:val="Textonotapie"/>
        <w:spacing w:after="40"/>
        <w:ind w:left="540" w:hanging="540"/>
        <w:jc w:val="both"/>
        <w:rPr>
          <w:rFonts w:asciiTheme="minorHAnsi" w:hAnsiTheme="minorHAnsi" w:cs="Calibri"/>
          <w:color w:val="404040" w:themeColor="text1" w:themeTint="BF"/>
          <w:sz w:val="16"/>
          <w:szCs w:val="16"/>
          <w:lang w:val="en-US"/>
        </w:rPr>
      </w:pPr>
      <w:r w:rsidRPr="004F1A7B">
        <w:rPr>
          <w:rStyle w:val="Refdenotaalpie"/>
          <w:rFonts w:asciiTheme="minorHAnsi" w:hAnsiTheme="minorHAnsi" w:cs="Calibri"/>
          <w:color w:val="404040" w:themeColor="text1" w:themeTint="BF"/>
          <w:sz w:val="16"/>
          <w:szCs w:val="16"/>
        </w:rPr>
        <w:footnoteRef/>
      </w:r>
      <w:r w:rsidRPr="004F1A7B">
        <w:rPr>
          <w:rFonts w:asciiTheme="minorHAnsi" w:hAnsiTheme="minorHAnsi" w:cs="Calibri"/>
          <w:color w:val="404040" w:themeColor="text1" w:themeTint="BF"/>
          <w:sz w:val="16"/>
          <w:szCs w:val="16"/>
          <w:vertAlign w:val="superscript"/>
          <w:lang w:val="en-US"/>
        </w:rPr>
        <w:t xml:space="preserve"> </w:t>
      </w:r>
      <w:r w:rsidRPr="004F1A7B">
        <w:rPr>
          <w:rFonts w:asciiTheme="minorHAnsi" w:hAnsiTheme="minorHAnsi" w:cs="Calibri"/>
          <w:color w:val="404040" w:themeColor="text1" w:themeTint="BF"/>
          <w:sz w:val="16"/>
          <w:szCs w:val="16"/>
          <w:vertAlign w:val="superscript"/>
          <w:lang w:val="en-US"/>
        </w:rPr>
        <w:tab/>
      </w:r>
      <w:r w:rsidRPr="004F1A7B">
        <w:rPr>
          <w:rFonts w:asciiTheme="minorHAnsi" w:hAnsiTheme="minorHAnsi" w:cs="Calibri"/>
          <w:color w:val="404040" w:themeColor="text1" w:themeTint="BF"/>
          <w:sz w:val="16"/>
          <w:szCs w:val="16"/>
          <w:lang w:val="en-US"/>
        </w:rPr>
        <w:t xml:space="preserve">IACHR. </w:t>
      </w:r>
      <w:r w:rsidRPr="004F1A7B">
        <w:rPr>
          <w:rFonts w:asciiTheme="minorHAnsi" w:hAnsiTheme="minorHAnsi" w:cs="Calibri"/>
          <w:i/>
          <w:color w:val="404040" w:themeColor="text1" w:themeTint="BF"/>
          <w:sz w:val="16"/>
          <w:szCs w:val="16"/>
          <w:lang w:val="en-US"/>
        </w:rPr>
        <w:t>Third Report on the Human Rights situation in Colombia</w:t>
      </w:r>
      <w:r w:rsidRPr="004F1A7B">
        <w:rPr>
          <w:rFonts w:asciiTheme="minorHAnsi" w:hAnsiTheme="minorHAnsi" w:cs="Calibri"/>
          <w:color w:val="404040" w:themeColor="text1" w:themeTint="BF"/>
          <w:sz w:val="16"/>
          <w:szCs w:val="16"/>
          <w:lang w:val="en-US"/>
        </w:rPr>
        <w:t>. Doc. OEA/</w:t>
      </w:r>
      <w:proofErr w:type="spellStart"/>
      <w:r w:rsidRPr="004F1A7B">
        <w:rPr>
          <w:rFonts w:asciiTheme="minorHAnsi" w:hAnsiTheme="minorHAnsi" w:cs="Calibri"/>
          <w:color w:val="404040" w:themeColor="text1" w:themeTint="BF"/>
          <w:sz w:val="16"/>
          <w:szCs w:val="16"/>
          <w:lang w:val="en-US"/>
        </w:rPr>
        <w:t>Ser.L</w:t>
      </w:r>
      <w:proofErr w:type="spellEnd"/>
      <w:r w:rsidRPr="004F1A7B">
        <w:rPr>
          <w:rFonts w:asciiTheme="minorHAnsi" w:hAnsiTheme="minorHAnsi" w:cs="Calibri"/>
          <w:color w:val="404040" w:themeColor="text1" w:themeTint="BF"/>
          <w:sz w:val="16"/>
          <w:szCs w:val="16"/>
          <w:lang w:val="en-US"/>
        </w:rPr>
        <w:t xml:space="preserve">/V/II.102, Doc. 9 rev. 1, February 26, 1999, Chapter X, Recommendation 3. </w:t>
      </w:r>
    </w:p>
  </w:footnote>
  <w:footnote w:id="44">
    <w:p w:rsidR="0086515C" w:rsidRPr="004F1A7B" w:rsidRDefault="0086515C" w:rsidP="00955D50">
      <w:pPr>
        <w:pStyle w:val="Textonotapie"/>
        <w:spacing w:after="40"/>
        <w:ind w:left="540" w:hanging="540"/>
        <w:jc w:val="both"/>
        <w:rPr>
          <w:rFonts w:asciiTheme="minorHAnsi" w:hAnsiTheme="minorHAnsi" w:cs="Calibri"/>
          <w:color w:val="404040" w:themeColor="text1" w:themeTint="BF"/>
          <w:sz w:val="16"/>
          <w:szCs w:val="16"/>
          <w:lang w:val="en-US"/>
        </w:rPr>
      </w:pPr>
      <w:r w:rsidRPr="004F1A7B">
        <w:rPr>
          <w:rStyle w:val="Refdenotaalpie"/>
          <w:rFonts w:asciiTheme="minorHAnsi" w:hAnsiTheme="minorHAnsi" w:cs="Calibri"/>
          <w:color w:val="404040" w:themeColor="text1" w:themeTint="BF"/>
          <w:sz w:val="16"/>
          <w:szCs w:val="16"/>
        </w:rPr>
        <w:footnoteRef/>
      </w:r>
      <w:r w:rsidRPr="004F1A7B">
        <w:rPr>
          <w:rFonts w:asciiTheme="minorHAnsi" w:hAnsiTheme="minorHAnsi" w:cs="Calibri"/>
          <w:color w:val="404040" w:themeColor="text1" w:themeTint="BF"/>
          <w:sz w:val="16"/>
          <w:szCs w:val="16"/>
          <w:vertAlign w:val="superscript"/>
          <w:lang w:val="en-US"/>
        </w:rPr>
        <w:t xml:space="preserve"> </w:t>
      </w:r>
      <w:r w:rsidRPr="004F1A7B">
        <w:rPr>
          <w:rFonts w:asciiTheme="minorHAnsi" w:hAnsiTheme="minorHAnsi" w:cs="Calibri"/>
          <w:color w:val="404040" w:themeColor="text1" w:themeTint="BF"/>
          <w:sz w:val="16"/>
          <w:szCs w:val="16"/>
          <w:vertAlign w:val="superscript"/>
          <w:lang w:val="en-US"/>
        </w:rPr>
        <w:tab/>
      </w:r>
      <w:r w:rsidRPr="004F1A7B">
        <w:rPr>
          <w:rFonts w:asciiTheme="minorHAnsi" w:hAnsiTheme="minorHAnsi" w:cs="Calibri"/>
          <w:color w:val="404040" w:themeColor="text1" w:themeTint="BF"/>
          <w:sz w:val="16"/>
          <w:szCs w:val="16"/>
          <w:lang w:val="en-US"/>
        </w:rPr>
        <w:t xml:space="preserve">IACHR. </w:t>
      </w:r>
      <w:r w:rsidRPr="004F1A7B">
        <w:rPr>
          <w:rFonts w:asciiTheme="minorHAnsi" w:hAnsiTheme="minorHAnsi" w:cs="Calibri"/>
          <w:i/>
          <w:color w:val="404040" w:themeColor="text1" w:themeTint="BF"/>
          <w:sz w:val="16"/>
          <w:szCs w:val="16"/>
          <w:lang w:val="en-US"/>
        </w:rPr>
        <w:t>Democracy and Human Rights in Venezuela</w:t>
      </w:r>
      <w:r w:rsidRPr="004F1A7B">
        <w:rPr>
          <w:rFonts w:asciiTheme="minorHAnsi" w:hAnsiTheme="minorHAnsi" w:cs="Calibri"/>
          <w:color w:val="404040" w:themeColor="text1" w:themeTint="BF"/>
          <w:sz w:val="16"/>
          <w:szCs w:val="16"/>
          <w:lang w:val="en-US"/>
        </w:rPr>
        <w:t>. Doc. OEA/</w:t>
      </w:r>
      <w:proofErr w:type="spellStart"/>
      <w:r w:rsidRPr="004F1A7B">
        <w:rPr>
          <w:rFonts w:asciiTheme="minorHAnsi" w:hAnsiTheme="minorHAnsi" w:cs="Calibri"/>
          <w:color w:val="404040" w:themeColor="text1" w:themeTint="BF"/>
          <w:sz w:val="16"/>
          <w:szCs w:val="16"/>
          <w:lang w:val="en-US"/>
        </w:rPr>
        <w:t>Ser.L</w:t>
      </w:r>
      <w:proofErr w:type="spellEnd"/>
      <w:r w:rsidRPr="004F1A7B">
        <w:rPr>
          <w:rFonts w:asciiTheme="minorHAnsi" w:hAnsiTheme="minorHAnsi" w:cs="Calibri"/>
          <w:color w:val="404040" w:themeColor="text1" w:themeTint="BF"/>
          <w:sz w:val="16"/>
          <w:szCs w:val="16"/>
          <w:lang w:val="en-US"/>
        </w:rPr>
        <w:t>/V/II, Doc. 54, December 30, 2009, paras. 1062-1066; 1071; 1137 – Recommendations 1-4.</w:t>
      </w:r>
    </w:p>
  </w:footnote>
  <w:footnote w:id="45">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The remedies should </w:t>
      </w:r>
      <w:proofErr w:type="gramStart"/>
      <w:r w:rsidRPr="004F1A7B">
        <w:rPr>
          <w:rFonts w:asciiTheme="minorHAnsi" w:hAnsiTheme="minorHAnsi"/>
          <w:color w:val="404040" w:themeColor="text1" w:themeTint="BF"/>
          <w:sz w:val="16"/>
          <w:szCs w:val="16"/>
          <w:lang w:val="en-US"/>
        </w:rPr>
        <w:t>take into account</w:t>
      </w:r>
      <w:proofErr w:type="gramEnd"/>
      <w:r w:rsidRPr="004F1A7B">
        <w:rPr>
          <w:rFonts w:asciiTheme="minorHAnsi" w:hAnsiTheme="minorHAnsi"/>
          <w:color w:val="404040" w:themeColor="text1" w:themeTint="BF"/>
          <w:sz w:val="16"/>
          <w:szCs w:val="16"/>
          <w:lang w:val="en-US"/>
        </w:rPr>
        <w:t xml:space="preserve"> their particularities, social and economic characteristics, their customary law, values, practices and traditions. They should also be effective in solving their territorial claim, ensuring the right of the community and the people to be heard with due guarantees and within a reasonable time to guarantee their rights and obligations.</w:t>
      </w:r>
    </w:p>
  </w:footnote>
  <w:footnote w:id="46">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r>
      <w:proofErr w:type="spellStart"/>
      <w:r w:rsidRPr="004F1A7B">
        <w:rPr>
          <w:rFonts w:asciiTheme="minorHAnsi" w:hAnsiTheme="minorHAnsi"/>
          <w:i/>
          <w:color w:val="404040" w:themeColor="text1" w:themeTint="BF"/>
          <w:sz w:val="16"/>
          <w:szCs w:val="16"/>
          <w:lang w:val="es-CO"/>
        </w:rPr>
        <w:t>Observ</w:t>
      </w:r>
      <w:r w:rsidRPr="004F1A7B">
        <w:rPr>
          <w:rFonts w:asciiTheme="minorHAnsi" w:hAnsiTheme="minorHAnsi"/>
          <w:i/>
          <w:color w:val="404040" w:themeColor="text1" w:themeTint="BF"/>
          <w:sz w:val="16"/>
          <w:szCs w:val="16"/>
          <w:lang w:val="es-ES"/>
        </w:rPr>
        <w:t>atorio</w:t>
      </w:r>
      <w:proofErr w:type="spellEnd"/>
      <w:r w:rsidRPr="004F1A7B">
        <w:rPr>
          <w:rFonts w:asciiTheme="minorHAnsi" w:hAnsiTheme="minorHAnsi"/>
          <w:i/>
          <w:color w:val="404040" w:themeColor="text1" w:themeTint="BF"/>
          <w:sz w:val="16"/>
          <w:szCs w:val="16"/>
          <w:lang w:val="es-ES"/>
        </w:rPr>
        <w:t xml:space="preserve"> de Derechos Humanos de los Pueblos Indígenas y Negros de Honduras</w:t>
      </w:r>
      <w:r w:rsidRPr="004F1A7B">
        <w:rPr>
          <w:rFonts w:asciiTheme="minorHAnsi" w:hAnsiTheme="minorHAnsi"/>
          <w:color w:val="404040" w:themeColor="text1" w:themeTint="BF"/>
          <w:sz w:val="16"/>
          <w:szCs w:val="16"/>
          <w:lang w:val="es-ES"/>
        </w:rPr>
        <w:t xml:space="preserve">. </w:t>
      </w:r>
      <w:r w:rsidRPr="004F1A7B">
        <w:rPr>
          <w:rFonts w:asciiTheme="minorHAnsi" w:hAnsiTheme="minorHAnsi"/>
          <w:i/>
          <w:color w:val="404040" w:themeColor="text1" w:themeTint="BF"/>
          <w:sz w:val="16"/>
          <w:szCs w:val="16"/>
          <w:lang w:val="es-ES"/>
        </w:rPr>
        <w:t>Informe Alternativo de Honduras. Convención sobre la Eliminación de Toda Forma de Discriminación Racial</w:t>
      </w:r>
      <w:r w:rsidRPr="004F1A7B">
        <w:rPr>
          <w:rFonts w:asciiTheme="minorHAnsi" w:hAnsiTheme="minorHAnsi"/>
          <w:color w:val="404040" w:themeColor="text1" w:themeTint="BF"/>
          <w:sz w:val="16"/>
          <w:szCs w:val="16"/>
          <w:lang w:val="es-ES"/>
        </w:rPr>
        <w:t xml:space="preserve">, </w:t>
      </w:r>
      <w:proofErr w:type="spellStart"/>
      <w:r w:rsidRPr="004F1A7B">
        <w:rPr>
          <w:rFonts w:asciiTheme="minorHAnsi" w:hAnsiTheme="minorHAnsi"/>
          <w:color w:val="404040" w:themeColor="text1" w:themeTint="BF"/>
          <w:sz w:val="16"/>
          <w:szCs w:val="16"/>
          <w:lang w:val="es-ES"/>
        </w:rPr>
        <w:t>January</w:t>
      </w:r>
      <w:proofErr w:type="spellEnd"/>
      <w:r w:rsidRPr="004F1A7B">
        <w:rPr>
          <w:rFonts w:asciiTheme="minorHAnsi" w:hAnsiTheme="minorHAnsi"/>
          <w:color w:val="404040" w:themeColor="text1" w:themeTint="BF"/>
          <w:sz w:val="16"/>
          <w:szCs w:val="16"/>
          <w:lang w:val="es-ES"/>
        </w:rPr>
        <w:t xml:space="preserve"> 7, 2014, p. 15. </w:t>
      </w:r>
      <w:r w:rsidRPr="004F1A7B">
        <w:rPr>
          <w:rFonts w:asciiTheme="minorHAnsi" w:hAnsiTheme="minorHAnsi"/>
          <w:color w:val="404040" w:themeColor="text1" w:themeTint="BF"/>
          <w:sz w:val="16"/>
          <w:szCs w:val="16"/>
          <w:lang w:val="en-US"/>
        </w:rPr>
        <w:t xml:space="preserve">Available at: </w:t>
      </w:r>
      <w:hyperlink r:id="rId35" w:history="1">
        <w:r w:rsidRPr="004F1A7B">
          <w:rPr>
            <w:rStyle w:val="Hipervnculo"/>
            <w:rFonts w:asciiTheme="minorHAnsi" w:hAnsiTheme="minorHAnsi"/>
            <w:color w:val="404040" w:themeColor="text1" w:themeTint="BF"/>
            <w:sz w:val="16"/>
            <w:szCs w:val="16"/>
            <w:u w:color="A6A6A6" w:themeColor="background1" w:themeShade="A6"/>
            <w:lang w:val="en-US"/>
          </w:rPr>
          <w:t>http://tbinternet.ohchr.org/Treaties/CERD/Shared%20Documents/HND/INT_CERD_NGO_HND–_16234_S.pdf</w:t>
        </w:r>
      </w:hyperlink>
      <w:r w:rsidRPr="004F1A7B">
        <w:rPr>
          <w:rFonts w:asciiTheme="minorHAnsi" w:hAnsiTheme="minorHAnsi"/>
          <w:color w:val="404040" w:themeColor="text1" w:themeTint="BF"/>
          <w:sz w:val="16"/>
          <w:szCs w:val="16"/>
          <w:lang w:val="en-US"/>
        </w:rPr>
        <w:t xml:space="preserve">. </w:t>
      </w:r>
    </w:p>
  </w:footnote>
  <w:footnote w:id="47">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United Nations. Committee on the Elimination of Racial Discrimination, </w:t>
      </w:r>
      <w:hyperlink r:id="rId36" w:history="1">
        <w:r w:rsidRPr="004F1A7B">
          <w:rPr>
            <w:rStyle w:val="Hipervnculo"/>
            <w:rFonts w:asciiTheme="minorHAnsi" w:hAnsiTheme="minorHAnsi"/>
            <w:i/>
            <w:color w:val="404040" w:themeColor="text1" w:themeTint="BF"/>
            <w:sz w:val="16"/>
            <w:szCs w:val="16"/>
            <w:u w:color="A6A6A6" w:themeColor="background1" w:themeShade="A6"/>
            <w:lang w:val="en-US"/>
          </w:rPr>
          <w:t>Concluding observations on the combined initial and second to fifth periodic reports of Honduras</w:t>
        </w:r>
      </w:hyperlink>
      <w:r w:rsidRPr="004F1A7B">
        <w:rPr>
          <w:rFonts w:asciiTheme="minorHAnsi" w:hAnsiTheme="minorHAnsi"/>
          <w:color w:val="404040" w:themeColor="text1" w:themeTint="BF"/>
          <w:sz w:val="16"/>
          <w:szCs w:val="16"/>
          <w:lang w:val="en-US"/>
        </w:rPr>
        <w:t>, CERD/C/HND/CO/1-5, March 13, 2014, para. 16.</w:t>
      </w:r>
    </w:p>
  </w:footnote>
  <w:footnote w:id="48">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49">
    <w:p w:rsidR="0086515C" w:rsidRPr="004F1A7B" w:rsidRDefault="0086515C" w:rsidP="00955D50">
      <w:pPr>
        <w:pStyle w:val="Textonotapie"/>
        <w:tabs>
          <w:tab w:val="left" w:pos="90"/>
        </w:tabs>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50">
    <w:p w:rsidR="0086515C" w:rsidRPr="004F1A7B" w:rsidRDefault="0086515C" w:rsidP="00955D50">
      <w:pPr>
        <w:pStyle w:val="Textonotapie"/>
        <w:tabs>
          <w:tab w:val="left" w:pos="90"/>
        </w:tabs>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51">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Situation of the Democratic Rule of Law in Honduras</w:t>
      </w:r>
      <w:r w:rsidRPr="004F1A7B">
        <w:rPr>
          <w:rFonts w:asciiTheme="minorHAnsi" w:hAnsiTheme="minorHAnsi"/>
          <w:color w:val="404040" w:themeColor="text1" w:themeTint="BF"/>
          <w:sz w:val="16"/>
          <w:szCs w:val="16"/>
          <w:lang w:val="en-US"/>
        </w:rPr>
        <w:t xml:space="preserve">, 150th Ordinary Period of Sessions, March 25, 2014. Available at: </w:t>
      </w:r>
      <w:hyperlink r:id="rId37" w:history="1">
        <w:r w:rsidRPr="004F1A7B">
          <w:rPr>
            <w:rStyle w:val="Hipervnculo"/>
            <w:rFonts w:asciiTheme="minorHAnsi" w:hAnsiTheme="minorHAnsi"/>
            <w:color w:val="404040" w:themeColor="text1" w:themeTint="BF"/>
            <w:sz w:val="16"/>
            <w:szCs w:val="16"/>
            <w:u w:color="A6A6A6" w:themeColor="background1" w:themeShade="A6"/>
            <w:lang w:val="en-US"/>
          </w:rPr>
          <w:t>www.oas.org/en/iachr/</w:t>
        </w:r>
      </w:hyperlink>
    </w:p>
  </w:footnote>
  <w:footnote w:id="52">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PCM-075-2011 of December 5, 2011 (90 days); PCM-009-2012 of April 19, 2012 (90 days); PCM-020-2012 of June 26, 2012 (90 days); and PCM-037-2012 of September 25, 2012 (180 days).</w:t>
      </w:r>
    </w:p>
  </w:footnote>
  <w:footnote w:id="53">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Situation of the Democratic Rule of Law in Honduras</w:t>
      </w:r>
      <w:r w:rsidRPr="004F1A7B">
        <w:rPr>
          <w:rFonts w:asciiTheme="minorHAnsi" w:hAnsiTheme="minorHAnsi"/>
          <w:color w:val="404040" w:themeColor="text1" w:themeTint="BF"/>
          <w:sz w:val="16"/>
          <w:szCs w:val="16"/>
          <w:lang w:val="en-US"/>
        </w:rPr>
        <w:t xml:space="preserve">, 150th Ordinary Period of Sessions, March 25, 2014. Available at: </w:t>
      </w:r>
      <w:hyperlink r:id="rId38" w:history="1">
        <w:r w:rsidRPr="004F1A7B">
          <w:rPr>
            <w:rStyle w:val="Hipervnculo"/>
            <w:rFonts w:asciiTheme="minorHAnsi" w:hAnsiTheme="minorHAnsi"/>
            <w:color w:val="404040" w:themeColor="text1" w:themeTint="BF"/>
            <w:sz w:val="16"/>
            <w:szCs w:val="16"/>
            <w:u w:color="A6A6A6" w:themeColor="background1" w:themeShade="A6"/>
            <w:lang w:val="en-US"/>
          </w:rPr>
          <w:t>www.oas.org/en/iachr</w:t>
        </w:r>
      </w:hyperlink>
      <w:r w:rsidRPr="004F1A7B">
        <w:rPr>
          <w:rStyle w:val="Hipervnculo"/>
          <w:rFonts w:asciiTheme="minorHAnsi" w:hAnsiTheme="minorHAnsi"/>
          <w:color w:val="404040" w:themeColor="text1" w:themeTint="BF"/>
          <w:sz w:val="16"/>
          <w:szCs w:val="16"/>
          <w:u w:val="none" w:color="BFBFBF" w:themeColor="background1" w:themeShade="BF"/>
          <w:lang w:val="en-US"/>
        </w:rPr>
        <w:t>.</w:t>
      </w:r>
    </w:p>
  </w:footnote>
  <w:footnote w:id="54">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Situation of the Democratic Rule of Law in Honduras</w:t>
      </w:r>
      <w:r w:rsidRPr="004F1A7B">
        <w:rPr>
          <w:rFonts w:asciiTheme="minorHAnsi" w:hAnsiTheme="minorHAnsi"/>
          <w:color w:val="404040" w:themeColor="text1" w:themeTint="BF"/>
          <w:sz w:val="16"/>
          <w:szCs w:val="16"/>
          <w:lang w:val="en-US"/>
        </w:rPr>
        <w:t xml:space="preserve">, 150th Ordinary Period of Sessions, March 25, 2014. Available at: </w:t>
      </w:r>
      <w:hyperlink r:id="rId39" w:history="1">
        <w:r w:rsidRPr="004F1A7B">
          <w:rPr>
            <w:rStyle w:val="Hipervnculo"/>
            <w:rFonts w:asciiTheme="minorHAnsi" w:hAnsiTheme="minorHAnsi"/>
            <w:color w:val="404040" w:themeColor="text1" w:themeTint="BF"/>
            <w:sz w:val="16"/>
            <w:szCs w:val="16"/>
            <w:u w:color="A6A6A6" w:themeColor="background1" w:themeShade="A6"/>
            <w:lang w:val="en-US"/>
          </w:rPr>
          <w:t>www.oas.org/en/iachr</w:t>
        </w:r>
      </w:hyperlink>
      <w:r w:rsidRPr="004F1A7B">
        <w:rPr>
          <w:rStyle w:val="Hipervnculo"/>
          <w:rFonts w:asciiTheme="minorHAnsi" w:hAnsiTheme="minorHAnsi"/>
          <w:color w:val="404040" w:themeColor="text1" w:themeTint="BF"/>
          <w:sz w:val="16"/>
          <w:szCs w:val="16"/>
          <w:u w:val="none" w:color="BFBFBF" w:themeColor="background1" w:themeShade="BF"/>
          <w:lang w:val="en-US"/>
        </w:rPr>
        <w:t>.</w:t>
      </w:r>
    </w:p>
  </w:footnote>
  <w:footnote w:id="55">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Government of Honduras. Information presented by the State of Honduras to the IACHR </w:t>
      </w:r>
      <w:proofErr w:type="gramStart"/>
      <w:r w:rsidRPr="004F1A7B">
        <w:rPr>
          <w:rFonts w:asciiTheme="minorHAnsi" w:hAnsiTheme="minorHAnsi"/>
          <w:color w:val="404040" w:themeColor="text1" w:themeTint="BF"/>
          <w:sz w:val="16"/>
          <w:szCs w:val="16"/>
          <w:lang w:val="en-US"/>
        </w:rPr>
        <w:t>subsequent to</w:t>
      </w:r>
      <w:proofErr w:type="gramEnd"/>
      <w:r w:rsidRPr="004F1A7B">
        <w:rPr>
          <w:rFonts w:asciiTheme="minorHAnsi" w:hAnsiTheme="minorHAnsi"/>
          <w:color w:val="404040" w:themeColor="text1" w:themeTint="BF"/>
          <w:sz w:val="16"/>
          <w:szCs w:val="16"/>
          <w:lang w:val="en-US"/>
        </w:rPr>
        <w:t xml:space="preserve"> the on-site visit made between December 1 and 5, 2014. Request SSDHJ-090-2015 of March 20, 2015; Government of Honduras. Information presented by the State of Honduras to the IACHR </w:t>
      </w:r>
      <w:proofErr w:type="gramStart"/>
      <w:r w:rsidRPr="004F1A7B">
        <w:rPr>
          <w:rFonts w:asciiTheme="minorHAnsi" w:hAnsiTheme="minorHAnsi"/>
          <w:color w:val="404040" w:themeColor="text1" w:themeTint="BF"/>
          <w:sz w:val="16"/>
          <w:szCs w:val="16"/>
          <w:lang w:val="en-US"/>
        </w:rPr>
        <w:t>subsequent to</w:t>
      </w:r>
      <w:proofErr w:type="gramEnd"/>
      <w:r w:rsidRPr="004F1A7B">
        <w:rPr>
          <w:rFonts w:asciiTheme="minorHAnsi" w:hAnsiTheme="minorHAnsi"/>
          <w:color w:val="404040" w:themeColor="text1" w:themeTint="BF"/>
          <w:sz w:val="16"/>
          <w:szCs w:val="16"/>
          <w:lang w:val="en-US"/>
        </w:rPr>
        <w:t xml:space="preserve"> the on-site visit made between December 1 and 5, 2014, Request SSDH-093-2015 of March 24, 2015.</w:t>
      </w:r>
    </w:p>
  </w:footnote>
  <w:footnote w:id="56">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Government of Honduras. Information presented by the State of Honduras to the IACHR </w:t>
      </w:r>
      <w:proofErr w:type="gramStart"/>
      <w:r w:rsidRPr="004F1A7B">
        <w:rPr>
          <w:rFonts w:asciiTheme="minorHAnsi" w:hAnsiTheme="minorHAnsi"/>
          <w:color w:val="404040" w:themeColor="text1" w:themeTint="BF"/>
          <w:sz w:val="16"/>
          <w:szCs w:val="16"/>
          <w:lang w:val="en-US"/>
        </w:rPr>
        <w:t>subsequent to</w:t>
      </w:r>
      <w:proofErr w:type="gramEnd"/>
      <w:r w:rsidRPr="004F1A7B">
        <w:rPr>
          <w:rFonts w:asciiTheme="minorHAnsi" w:hAnsiTheme="minorHAnsi"/>
          <w:color w:val="404040" w:themeColor="text1" w:themeTint="BF"/>
          <w:sz w:val="16"/>
          <w:szCs w:val="16"/>
          <w:lang w:val="en-US"/>
        </w:rPr>
        <w:t xml:space="preserve"> the on-site visit made between December 1 and 5, 2014, Request SSDH-093-2015 of March 24, 2015.</w:t>
      </w:r>
    </w:p>
  </w:footnote>
  <w:footnote w:id="57">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Government of Honduras. Information presented by the State of Honduras to the IACHR </w:t>
      </w:r>
      <w:proofErr w:type="gramStart"/>
      <w:r w:rsidRPr="004F1A7B">
        <w:rPr>
          <w:rFonts w:asciiTheme="minorHAnsi" w:hAnsiTheme="minorHAnsi"/>
          <w:color w:val="404040" w:themeColor="text1" w:themeTint="BF"/>
          <w:sz w:val="16"/>
          <w:szCs w:val="16"/>
          <w:lang w:val="en-US"/>
        </w:rPr>
        <w:t>subsequent to</w:t>
      </w:r>
      <w:proofErr w:type="gramEnd"/>
      <w:r w:rsidRPr="004F1A7B">
        <w:rPr>
          <w:rFonts w:asciiTheme="minorHAnsi" w:hAnsiTheme="minorHAnsi"/>
          <w:color w:val="404040" w:themeColor="text1" w:themeTint="BF"/>
          <w:sz w:val="16"/>
          <w:szCs w:val="16"/>
          <w:lang w:val="en-US"/>
        </w:rPr>
        <w:t xml:space="preserve"> the on-site visit made between December 1 and 5, 2014. Request SSDHJ-090-2015 of March 20, 2015; Government of Honduras. Information presented by the State of Honduras to the IACHR </w:t>
      </w:r>
      <w:proofErr w:type="gramStart"/>
      <w:r w:rsidRPr="004F1A7B">
        <w:rPr>
          <w:rFonts w:asciiTheme="minorHAnsi" w:hAnsiTheme="minorHAnsi"/>
          <w:color w:val="404040" w:themeColor="text1" w:themeTint="BF"/>
          <w:sz w:val="16"/>
          <w:szCs w:val="16"/>
          <w:lang w:val="en-US"/>
        </w:rPr>
        <w:t>subsequent to</w:t>
      </w:r>
      <w:proofErr w:type="gramEnd"/>
      <w:r w:rsidRPr="004F1A7B">
        <w:rPr>
          <w:rFonts w:asciiTheme="minorHAnsi" w:hAnsiTheme="minorHAnsi"/>
          <w:color w:val="404040" w:themeColor="text1" w:themeTint="BF"/>
          <w:sz w:val="16"/>
          <w:szCs w:val="16"/>
          <w:lang w:val="en-US"/>
        </w:rPr>
        <w:t xml:space="preserve"> the on-site visit made between December 1 and 5, 2014, Request SSDH-093-2015 of March 24, 2015.</w:t>
      </w:r>
    </w:p>
  </w:footnote>
  <w:footnote w:id="58">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cs="Tahoma"/>
          <w:color w:val="404040" w:themeColor="text1" w:themeTint="BF"/>
          <w:sz w:val="16"/>
          <w:szCs w:val="16"/>
          <w:lang w:val="en-US"/>
        </w:rPr>
        <w:t>Also, as an integral part of the security strategy of human rights, they have developed prevention programs, social development and attention to vulnerable groups in areas affected by organized crime. In January 2014, the Under-Secretariat for Security and Prevention was created, which is working on the development of a Public Policy for Prevention of Violence, in the context its strategic plan ‘Plan for All for a Better Life’, G</w:t>
      </w:r>
      <w:r w:rsidRPr="004F1A7B">
        <w:rPr>
          <w:rFonts w:asciiTheme="minorHAnsi" w:hAnsiTheme="minorHAnsi"/>
          <w:color w:val="404040" w:themeColor="text1" w:themeTint="BF"/>
          <w:sz w:val="16"/>
          <w:szCs w:val="16"/>
          <w:lang w:val="en-US"/>
        </w:rPr>
        <w:t xml:space="preserve">overnment of Honduras. Information presented by the State of Honduras to the IACHR </w:t>
      </w:r>
      <w:proofErr w:type="gramStart"/>
      <w:r w:rsidRPr="004F1A7B">
        <w:rPr>
          <w:rFonts w:asciiTheme="minorHAnsi" w:hAnsiTheme="minorHAnsi"/>
          <w:color w:val="404040" w:themeColor="text1" w:themeTint="BF"/>
          <w:sz w:val="16"/>
          <w:szCs w:val="16"/>
          <w:lang w:val="en-US"/>
        </w:rPr>
        <w:t>subsequent to</w:t>
      </w:r>
      <w:proofErr w:type="gramEnd"/>
      <w:r w:rsidRPr="004F1A7B">
        <w:rPr>
          <w:rFonts w:asciiTheme="minorHAnsi" w:hAnsiTheme="minorHAnsi"/>
          <w:color w:val="404040" w:themeColor="text1" w:themeTint="BF"/>
          <w:sz w:val="16"/>
          <w:szCs w:val="16"/>
          <w:lang w:val="en-US"/>
        </w:rPr>
        <w:t xml:space="preserve"> the on-site visit made between December 1 and 5, 2014. Request SSDHJ-090-2015 of March 20, 2015.</w:t>
      </w:r>
    </w:p>
  </w:footnote>
  <w:footnote w:id="59">
    <w:p w:rsidR="0086515C" w:rsidRPr="004F1A7B" w:rsidRDefault="0086515C" w:rsidP="00955D50">
      <w:pPr>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World Bank Indicators. Available at: </w:t>
      </w:r>
      <w:hyperlink r:id="rId40" w:history="1">
        <w:r w:rsidRPr="004F1A7B">
          <w:rPr>
            <w:rStyle w:val="Hipervnculo"/>
            <w:rFonts w:asciiTheme="minorHAnsi" w:hAnsiTheme="minorHAnsi"/>
            <w:color w:val="404040" w:themeColor="text1" w:themeTint="BF"/>
            <w:sz w:val="16"/>
            <w:szCs w:val="16"/>
            <w:u w:color="A6A6A6" w:themeColor="background1" w:themeShade="A6"/>
            <w:lang w:val="en-US"/>
          </w:rPr>
          <w:t>http://datos.bancomundial.org/indicador/MS.MIL.XPND.GD.ZS</w:t>
        </w:r>
      </w:hyperlink>
    </w:p>
  </w:footnote>
  <w:footnote w:id="60">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La </w:t>
      </w:r>
      <w:proofErr w:type="spellStart"/>
      <w:r w:rsidRPr="004F1A7B">
        <w:rPr>
          <w:rFonts w:asciiTheme="minorHAnsi" w:hAnsiTheme="minorHAnsi"/>
          <w:color w:val="404040" w:themeColor="text1" w:themeTint="BF"/>
          <w:sz w:val="16"/>
          <w:szCs w:val="16"/>
          <w:lang w:val="en-US"/>
        </w:rPr>
        <w:t>Prensa</w:t>
      </w:r>
      <w:proofErr w:type="spellEnd"/>
      <w:r w:rsidRPr="004F1A7B">
        <w:rPr>
          <w:rFonts w:asciiTheme="minorHAnsi" w:hAnsiTheme="minorHAnsi"/>
          <w:color w:val="404040" w:themeColor="text1" w:themeTint="BF"/>
          <w:sz w:val="16"/>
          <w:szCs w:val="16"/>
          <w:lang w:val="en-US"/>
        </w:rPr>
        <w:t xml:space="preserve"> Newspaper, </w:t>
      </w:r>
      <w:r w:rsidRPr="004F1A7B">
        <w:rPr>
          <w:rFonts w:asciiTheme="minorHAnsi" w:hAnsiTheme="minorHAnsi"/>
          <w:i/>
          <w:color w:val="404040" w:themeColor="text1" w:themeTint="BF"/>
          <w:sz w:val="16"/>
          <w:szCs w:val="16"/>
          <w:lang w:val="en-US"/>
        </w:rPr>
        <w:t>Honduras goes backwards with militarization of public institutions</w:t>
      </w:r>
      <w:r w:rsidRPr="004F1A7B">
        <w:rPr>
          <w:rFonts w:asciiTheme="minorHAnsi" w:hAnsiTheme="minorHAnsi"/>
          <w:color w:val="404040" w:themeColor="text1" w:themeTint="BF"/>
          <w:sz w:val="16"/>
          <w:szCs w:val="16"/>
          <w:lang w:val="en-US"/>
        </w:rPr>
        <w:t xml:space="preserve">, December 3, 2014. Available at: </w:t>
      </w:r>
      <w:hyperlink r:id="rId41" w:history="1">
        <w:r w:rsidRPr="004F1A7B">
          <w:rPr>
            <w:rStyle w:val="Hipervnculo"/>
            <w:rFonts w:asciiTheme="minorHAnsi" w:hAnsiTheme="minorHAnsi"/>
            <w:color w:val="404040" w:themeColor="text1" w:themeTint="BF"/>
            <w:sz w:val="16"/>
            <w:szCs w:val="16"/>
            <w:u w:color="A6A6A6" w:themeColor="background1" w:themeShade="A6"/>
            <w:lang w:val="en-US"/>
          </w:rPr>
          <w:t>http://www.laprensa.hn/honduras/773467-410/honduras-retrocede-con-militarizaci%C3%B3n-de-instituciones-p%C3%BAblicas</w:t>
        </w:r>
      </w:hyperlink>
      <w:r w:rsidRPr="004F1A7B">
        <w:rPr>
          <w:rFonts w:asciiTheme="minorHAnsi" w:hAnsiTheme="minorHAnsi"/>
          <w:color w:val="404040" w:themeColor="text1" w:themeTint="BF"/>
          <w:sz w:val="16"/>
          <w:szCs w:val="16"/>
          <w:lang w:val="en-US"/>
        </w:rPr>
        <w:t xml:space="preserve">. </w:t>
      </w:r>
    </w:p>
  </w:footnote>
  <w:footnote w:id="61">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Annual Report 2013</w:t>
      </w:r>
      <w:r w:rsidRPr="004F1A7B">
        <w:rPr>
          <w:rFonts w:asciiTheme="minorHAnsi" w:hAnsiTheme="minorHAnsi"/>
          <w:color w:val="404040" w:themeColor="text1" w:themeTint="BF"/>
          <w:sz w:val="16"/>
          <w:szCs w:val="16"/>
          <w:lang w:val="en-US"/>
        </w:rPr>
        <w:t>, Chapter IV.B, Honduras.</w:t>
      </w:r>
    </w:p>
  </w:footnote>
  <w:footnote w:id="62">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In 2013, as part of a process of accountability and measurement of outcomes in the judicial system, Attorney General Luis Alberto </w:t>
      </w:r>
      <w:proofErr w:type="spellStart"/>
      <w:r w:rsidRPr="004F1A7B">
        <w:rPr>
          <w:rFonts w:asciiTheme="minorHAnsi" w:hAnsiTheme="minorHAnsi"/>
          <w:color w:val="404040" w:themeColor="text1" w:themeTint="BF"/>
          <w:sz w:val="16"/>
          <w:szCs w:val="16"/>
          <w:lang w:val="en-US"/>
        </w:rPr>
        <w:t>Rubí</w:t>
      </w:r>
      <w:proofErr w:type="spellEnd"/>
      <w:r w:rsidRPr="004F1A7B">
        <w:rPr>
          <w:rFonts w:asciiTheme="minorHAnsi" w:hAnsiTheme="minorHAnsi"/>
          <w:color w:val="404040" w:themeColor="text1" w:themeTint="BF"/>
          <w:sz w:val="16"/>
          <w:szCs w:val="16"/>
          <w:lang w:val="en-US"/>
        </w:rPr>
        <w:t xml:space="preserve"> appeared before the National Congress and stated publicly that 80% of homicides committed in Honduras remained unpunished due to the lack of capacity of the investigative bodies.</w:t>
      </w:r>
    </w:p>
  </w:footnote>
  <w:footnote w:id="63">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Meetings with civil society during the on-site visit.</w:t>
      </w:r>
    </w:p>
  </w:footnote>
  <w:footnote w:id="64">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According to the account provided, the military patrol shot the son in the back when he did not heed a command to stop.</w:t>
      </w:r>
    </w:p>
  </w:footnote>
  <w:footnote w:id="65">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organizations on children’s issues, during the Commission’s on-site visit to Honduras, December 4, 2014.</w:t>
      </w:r>
    </w:p>
  </w:footnote>
  <w:footnote w:id="66">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organizations on children’s issues, during the Commission’s on-site visit to Honduras, December 4, 2014. In its response to the draft of this report, the State indicated that a conviction was obtained in the case, but that an appeal (</w:t>
      </w:r>
      <w:proofErr w:type="spellStart"/>
      <w:r w:rsidRPr="004F1A7B">
        <w:rPr>
          <w:rFonts w:asciiTheme="minorHAnsi" w:hAnsiTheme="minorHAnsi"/>
          <w:i/>
          <w:color w:val="404040" w:themeColor="text1" w:themeTint="BF"/>
          <w:sz w:val="16"/>
          <w:szCs w:val="16"/>
          <w:lang w:val="en-US"/>
        </w:rPr>
        <w:t>recurso</w:t>
      </w:r>
      <w:proofErr w:type="spellEnd"/>
      <w:r w:rsidRPr="004F1A7B">
        <w:rPr>
          <w:rFonts w:asciiTheme="minorHAnsi" w:hAnsiTheme="minorHAnsi"/>
          <w:i/>
          <w:color w:val="404040" w:themeColor="text1" w:themeTint="BF"/>
          <w:sz w:val="16"/>
          <w:szCs w:val="16"/>
          <w:lang w:val="en-US"/>
        </w:rPr>
        <w:t xml:space="preserve"> de </w:t>
      </w:r>
      <w:proofErr w:type="spellStart"/>
      <w:r w:rsidRPr="004F1A7B">
        <w:rPr>
          <w:rFonts w:asciiTheme="minorHAnsi" w:hAnsiTheme="minorHAnsi"/>
          <w:i/>
          <w:color w:val="404040" w:themeColor="text1" w:themeTint="BF"/>
          <w:sz w:val="16"/>
          <w:szCs w:val="16"/>
          <w:lang w:val="en-US"/>
        </w:rPr>
        <w:t>casación</w:t>
      </w:r>
      <w:proofErr w:type="spellEnd"/>
      <w:r w:rsidRPr="004F1A7B">
        <w:rPr>
          <w:rFonts w:asciiTheme="minorHAnsi" w:hAnsiTheme="minorHAnsi"/>
          <w:color w:val="404040" w:themeColor="text1" w:themeTint="BF"/>
          <w:sz w:val="16"/>
          <w:szCs w:val="16"/>
          <w:lang w:val="en-US"/>
        </w:rPr>
        <w:t>) is still pending resolution. Communication from the State of Honduras, Note No. SG/064/MHOEA/2015, Observations of the State of Honduras to the 2015 Draft Report on Honduras of the Inter-American Commission on Human Rights, December 14, 2015.</w:t>
      </w:r>
    </w:p>
  </w:footnote>
  <w:footnote w:id="67">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organizations on children’s issues, during the Commission’s on-site visit to Honduras, December 4, 2014. In its response to the draft of this report, the State reported that a conviction was obtained in the case, but that an appeal (</w:t>
      </w:r>
      <w:proofErr w:type="spellStart"/>
      <w:r w:rsidRPr="004F1A7B">
        <w:rPr>
          <w:rFonts w:asciiTheme="minorHAnsi" w:hAnsiTheme="minorHAnsi"/>
          <w:i/>
          <w:color w:val="404040" w:themeColor="text1" w:themeTint="BF"/>
          <w:sz w:val="16"/>
          <w:szCs w:val="16"/>
          <w:lang w:val="en-US"/>
        </w:rPr>
        <w:t>recurso</w:t>
      </w:r>
      <w:proofErr w:type="spellEnd"/>
      <w:r w:rsidRPr="004F1A7B">
        <w:rPr>
          <w:rFonts w:asciiTheme="minorHAnsi" w:hAnsiTheme="minorHAnsi"/>
          <w:i/>
          <w:color w:val="404040" w:themeColor="text1" w:themeTint="BF"/>
          <w:sz w:val="16"/>
          <w:szCs w:val="16"/>
          <w:lang w:val="en-US"/>
        </w:rPr>
        <w:t xml:space="preserve"> de </w:t>
      </w:r>
      <w:proofErr w:type="spellStart"/>
      <w:r w:rsidRPr="004F1A7B">
        <w:rPr>
          <w:rFonts w:asciiTheme="minorHAnsi" w:hAnsiTheme="minorHAnsi"/>
          <w:i/>
          <w:color w:val="404040" w:themeColor="text1" w:themeTint="BF"/>
          <w:sz w:val="16"/>
          <w:szCs w:val="16"/>
          <w:lang w:val="en-US"/>
        </w:rPr>
        <w:t>casación</w:t>
      </w:r>
      <w:proofErr w:type="spellEnd"/>
      <w:r w:rsidRPr="004F1A7B">
        <w:rPr>
          <w:rFonts w:asciiTheme="minorHAnsi" w:hAnsiTheme="minorHAnsi"/>
          <w:color w:val="404040" w:themeColor="text1" w:themeTint="BF"/>
          <w:sz w:val="16"/>
          <w:szCs w:val="16"/>
          <w:lang w:val="en-US"/>
        </w:rPr>
        <w:t>) is still pending resolution. Communication from the State of Honduras, Note No. SG/064/MHOEA/2015, Observations of the State of Honduras to the 2015 Draft Report on Honduras of the Inter-American Commission on Human Rights, December 14, 2015.</w:t>
      </w:r>
    </w:p>
  </w:footnote>
  <w:footnote w:id="68">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s-CO"/>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Centro de Derechos de Mujeres. </w:t>
      </w:r>
      <w:r w:rsidRPr="004F1A7B">
        <w:rPr>
          <w:rFonts w:asciiTheme="minorHAnsi" w:hAnsiTheme="minorHAnsi"/>
          <w:i/>
          <w:color w:val="404040" w:themeColor="text1" w:themeTint="BF"/>
          <w:sz w:val="16"/>
          <w:szCs w:val="16"/>
          <w:lang w:val="es-CO"/>
        </w:rPr>
        <w:t>Acceso a la justicia en casos de muertes violentas y femicidios</w:t>
      </w:r>
      <w:r w:rsidRPr="004F1A7B">
        <w:rPr>
          <w:rFonts w:asciiTheme="minorHAnsi" w:hAnsiTheme="minorHAnsi"/>
          <w:color w:val="404040" w:themeColor="text1" w:themeTint="BF"/>
          <w:sz w:val="16"/>
          <w:szCs w:val="16"/>
          <w:lang w:val="es-CO"/>
        </w:rPr>
        <w:t xml:space="preserve">, </w:t>
      </w:r>
      <w:proofErr w:type="spellStart"/>
      <w:r w:rsidRPr="004F1A7B">
        <w:rPr>
          <w:rFonts w:asciiTheme="minorHAnsi" w:hAnsiTheme="minorHAnsi"/>
          <w:color w:val="404040" w:themeColor="text1" w:themeTint="BF"/>
          <w:sz w:val="16"/>
          <w:szCs w:val="16"/>
          <w:lang w:val="es-CO"/>
        </w:rPr>
        <w:t>December</w:t>
      </w:r>
      <w:proofErr w:type="spellEnd"/>
      <w:r w:rsidRPr="004F1A7B">
        <w:rPr>
          <w:rFonts w:asciiTheme="minorHAnsi" w:hAnsiTheme="minorHAnsi"/>
          <w:color w:val="404040" w:themeColor="text1" w:themeTint="BF"/>
          <w:sz w:val="16"/>
          <w:szCs w:val="16"/>
          <w:lang w:val="es-CO"/>
        </w:rPr>
        <w:t xml:space="preserve"> 2014.</w:t>
      </w:r>
    </w:p>
  </w:footnote>
  <w:footnote w:id="69">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Information from the website of the Public Prosecutor’s Office of Honduras.</w:t>
      </w:r>
    </w:p>
  </w:footnote>
  <w:footnote w:id="70">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received on December 4, 2014.</w:t>
      </w:r>
    </w:p>
  </w:footnote>
  <w:footnote w:id="71">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received on December 4, 2014.</w:t>
      </w:r>
    </w:p>
  </w:footnote>
  <w:footnote w:id="72">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Government of Honduras. Information received on December 4, 2014. The State, in its response to the draft of this report, presented different statistics for 2014: 679 complaints, 40 orders to prosecute issued and 32 indictments obtained, 16 convictions, 8 acquittals, and 97 cases closed. The State reported that as of September 2015, 421 complaints had been received, 41 orders to prosecute issued, 18 indictments, 14 convictions, and 8 acquittals obtained, and 167 complaints closed. Communication from the State of Honduras, Note No. SG/064/MHOEA/2015, Observations of the State of Honduras to the 2015 Draft Report on Honduras of the Inter-American Commission on Human Rights, December 14, 2015. </w:t>
      </w:r>
    </w:p>
  </w:footnote>
  <w:footnote w:id="73">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42" w:history="1">
        <w:r w:rsidRPr="004F1A7B">
          <w:rPr>
            <w:rStyle w:val="Hipervnculo"/>
            <w:rFonts w:asciiTheme="minorHAnsi" w:hAnsiTheme="minorHAnsi"/>
            <w:i/>
            <w:color w:val="404040" w:themeColor="text1" w:themeTint="BF"/>
            <w:sz w:val="16"/>
            <w:szCs w:val="16"/>
            <w:u w:color="A6A6A6" w:themeColor="background1" w:themeShade="A6"/>
            <w:lang w:val="en-US"/>
          </w:rPr>
          <w:t>Report on Citizen Security and Human Rights</w:t>
        </w:r>
      </w:hyperlink>
      <w:r w:rsidRPr="004F1A7B">
        <w:rPr>
          <w:rFonts w:asciiTheme="minorHAnsi" w:hAnsiTheme="minorHAnsi"/>
          <w:color w:val="404040" w:themeColor="text1" w:themeTint="BF"/>
          <w:sz w:val="16"/>
          <w:szCs w:val="16"/>
          <w:lang w:val="en-US"/>
        </w:rPr>
        <w:t xml:space="preserve">, December 31, 2009, para. 36. Available at: </w:t>
      </w:r>
      <w:hyperlink r:id="rId43" w:history="1">
        <w:r w:rsidRPr="004F1A7B">
          <w:rPr>
            <w:rStyle w:val="Hipervnculo"/>
            <w:rFonts w:asciiTheme="minorHAnsi" w:hAnsiTheme="minorHAnsi"/>
            <w:color w:val="404040" w:themeColor="text1" w:themeTint="BF"/>
            <w:sz w:val="16"/>
            <w:szCs w:val="16"/>
            <w:u w:color="A6A6A6" w:themeColor="background1" w:themeShade="A6"/>
            <w:lang w:val="en-US"/>
          </w:rPr>
          <w:t>http://–www.oas.org/en/iachr/docs/pdf/CitizenSec.pdf</w:t>
        </w:r>
      </w:hyperlink>
      <w:r w:rsidRPr="004F1A7B">
        <w:rPr>
          <w:rFonts w:asciiTheme="minorHAnsi" w:hAnsiTheme="minorHAnsi"/>
          <w:color w:val="404040" w:themeColor="text1" w:themeTint="BF"/>
          <w:sz w:val="16"/>
          <w:szCs w:val="16"/>
          <w:lang w:val="en-US"/>
        </w:rPr>
        <w:t xml:space="preserve">. </w:t>
      </w:r>
    </w:p>
  </w:footnote>
  <w:footnote w:id="74">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44" w:history="1">
        <w:r w:rsidRPr="004F1A7B">
          <w:rPr>
            <w:rStyle w:val="Hipervnculo"/>
            <w:rFonts w:asciiTheme="minorHAnsi" w:hAnsiTheme="minorHAnsi"/>
            <w:i/>
            <w:color w:val="404040" w:themeColor="text1" w:themeTint="BF"/>
            <w:sz w:val="16"/>
            <w:szCs w:val="16"/>
            <w:u w:color="A6A6A6" w:themeColor="background1" w:themeShade="A6"/>
            <w:lang w:val="en-US"/>
          </w:rPr>
          <w:t>Report on Citizen Security and Human Rights</w:t>
        </w:r>
      </w:hyperlink>
      <w:r w:rsidRPr="004F1A7B">
        <w:rPr>
          <w:rFonts w:asciiTheme="minorHAnsi" w:hAnsiTheme="minorHAnsi"/>
          <w:color w:val="404040" w:themeColor="text1" w:themeTint="BF"/>
          <w:sz w:val="16"/>
          <w:szCs w:val="16"/>
          <w:lang w:val="en-US"/>
        </w:rPr>
        <w:t xml:space="preserve">, December 31, 2009, para. 36. Available at: </w:t>
      </w:r>
      <w:hyperlink r:id="rId45" w:history="1">
        <w:proofErr w:type="gramStart"/>
        <w:r w:rsidRPr="004F1A7B">
          <w:rPr>
            <w:rStyle w:val="Hipervnculo"/>
            <w:rFonts w:asciiTheme="minorHAnsi" w:hAnsiTheme="minorHAnsi"/>
            <w:color w:val="404040" w:themeColor="text1" w:themeTint="BF"/>
            <w:sz w:val="16"/>
            <w:szCs w:val="16"/>
            <w:u w:color="A6A6A6" w:themeColor="background1" w:themeShade="A6"/>
            <w:lang w:val="en-US"/>
          </w:rPr>
          <w:t>http:–</w:t>
        </w:r>
        <w:proofErr w:type="gramEnd"/>
        <w:r w:rsidRPr="004F1A7B">
          <w:rPr>
            <w:rStyle w:val="Hipervnculo"/>
            <w:rFonts w:asciiTheme="minorHAnsi" w:hAnsiTheme="minorHAnsi"/>
            <w:color w:val="404040" w:themeColor="text1" w:themeTint="BF"/>
            <w:sz w:val="16"/>
            <w:szCs w:val="16"/>
            <w:u w:color="A6A6A6" w:themeColor="background1" w:themeShade="A6"/>
            <w:lang w:val="en-US"/>
          </w:rPr>
          <w:t>//www.oas.org/en/iachr/docs/pdf/CitizenSec.pdf</w:t>
        </w:r>
      </w:hyperlink>
      <w:r w:rsidRPr="004F1A7B">
        <w:rPr>
          <w:rFonts w:asciiTheme="minorHAnsi" w:hAnsiTheme="minorHAnsi"/>
          <w:color w:val="404040" w:themeColor="text1" w:themeTint="BF"/>
          <w:sz w:val="16"/>
          <w:szCs w:val="16"/>
          <w:lang w:val="en-US"/>
        </w:rPr>
        <w:t>.</w:t>
      </w:r>
    </w:p>
  </w:footnote>
  <w:footnote w:id="75">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Preliminary Observations of the Inter-American Commission on Human Rights on its Visit to Honduras</w:t>
      </w:r>
      <w:r w:rsidRPr="004F1A7B">
        <w:rPr>
          <w:rFonts w:asciiTheme="minorHAnsi" w:hAnsiTheme="minorHAnsi"/>
          <w:color w:val="404040" w:themeColor="text1" w:themeTint="BF"/>
          <w:sz w:val="16"/>
          <w:szCs w:val="16"/>
          <w:lang w:val="en-US"/>
        </w:rPr>
        <w:t xml:space="preserve">, May 15 to 18, 2010. Available at: </w:t>
      </w:r>
      <w:hyperlink r:id="rId46" w:history="1">
        <w:r w:rsidRPr="004F1A7B">
          <w:rPr>
            <w:rStyle w:val="Hipervnculo"/>
            <w:rFonts w:asciiTheme="minorHAnsi" w:hAnsiTheme="minorHAnsi"/>
            <w:color w:val="404040" w:themeColor="text1" w:themeTint="BF"/>
            <w:sz w:val="16"/>
            <w:szCs w:val="16"/>
            <w:u w:color="A6A6A6" w:themeColor="background1" w:themeShade="A6"/>
            <w:lang w:val="en-US"/>
          </w:rPr>
          <w:t>http://www.cidh.org/countryrep/Honduras10eng/IACHRPreliminaryObs–ervationsHondurasVisitMay2010.pdf</w:t>
        </w:r>
      </w:hyperlink>
      <w:r w:rsidRPr="004F1A7B">
        <w:rPr>
          <w:rFonts w:asciiTheme="minorHAnsi" w:hAnsiTheme="minorHAnsi"/>
          <w:color w:val="404040" w:themeColor="text1" w:themeTint="BF"/>
          <w:sz w:val="16"/>
          <w:szCs w:val="16"/>
          <w:lang w:val="en-US"/>
        </w:rPr>
        <w:t xml:space="preserve">. </w:t>
      </w:r>
    </w:p>
  </w:footnote>
  <w:footnote w:id="76">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Guar</w:t>
      </w:r>
      <w:r>
        <w:rPr>
          <w:rFonts w:asciiTheme="minorHAnsi" w:hAnsiTheme="minorHAnsi"/>
          <w:i/>
          <w:color w:val="404040" w:themeColor="text1" w:themeTint="BF"/>
          <w:sz w:val="16"/>
          <w:szCs w:val="16"/>
          <w:lang w:val="en-US"/>
        </w:rPr>
        <w:t>antees for the Independence of J</w:t>
      </w:r>
      <w:r w:rsidRPr="004F1A7B">
        <w:rPr>
          <w:rFonts w:asciiTheme="minorHAnsi" w:hAnsiTheme="minorHAnsi"/>
          <w:i/>
          <w:color w:val="404040" w:themeColor="text1" w:themeTint="BF"/>
          <w:sz w:val="16"/>
          <w:szCs w:val="16"/>
          <w:lang w:val="en-US"/>
        </w:rPr>
        <w:t xml:space="preserve">ustice </w:t>
      </w:r>
      <w:r>
        <w:rPr>
          <w:rFonts w:asciiTheme="minorHAnsi" w:hAnsiTheme="minorHAnsi"/>
          <w:i/>
          <w:color w:val="404040" w:themeColor="text1" w:themeTint="BF"/>
          <w:sz w:val="16"/>
          <w:szCs w:val="16"/>
          <w:lang w:val="en-US"/>
        </w:rPr>
        <w:t>O</w:t>
      </w:r>
      <w:r w:rsidRPr="004F1A7B">
        <w:rPr>
          <w:rFonts w:asciiTheme="minorHAnsi" w:hAnsiTheme="minorHAnsi"/>
          <w:i/>
          <w:color w:val="404040" w:themeColor="text1" w:themeTint="BF"/>
          <w:sz w:val="16"/>
          <w:szCs w:val="16"/>
          <w:lang w:val="en-US"/>
        </w:rPr>
        <w:t>perators</w:t>
      </w:r>
      <w:r w:rsidRPr="004F1A7B">
        <w:rPr>
          <w:rFonts w:asciiTheme="minorHAnsi" w:hAnsiTheme="minorHAnsi"/>
          <w:color w:val="404040" w:themeColor="text1" w:themeTint="BF"/>
          <w:sz w:val="16"/>
          <w:szCs w:val="16"/>
          <w:lang w:val="en-US"/>
        </w:rPr>
        <w:t>.</w:t>
      </w:r>
      <w:r w:rsidRPr="004F1A7B">
        <w:rPr>
          <w:rFonts w:asciiTheme="minorHAnsi" w:hAnsiTheme="minorHAnsi"/>
          <w:i/>
          <w:color w:val="404040" w:themeColor="text1" w:themeTint="BF"/>
          <w:sz w:val="16"/>
          <w:szCs w:val="16"/>
          <w:lang w:val="en-US"/>
        </w:rPr>
        <w:t xml:space="preserve"> Towards </w:t>
      </w:r>
      <w:r>
        <w:rPr>
          <w:rFonts w:asciiTheme="minorHAnsi" w:hAnsiTheme="minorHAnsi"/>
          <w:i/>
          <w:color w:val="404040" w:themeColor="text1" w:themeTint="BF"/>
          <w:sz w:val="16"/>
          <w:szCs w:val="16"/>
          <w:lang w:val="en-US"/>
        </w:rPr>
        <w:t>S</w:t>
      </w:r>
      <w:r w:rsidRPr="004F1A7B">
        <w:rPr>
          <w:rFonts w:asciiTheme="minorHAnsi" w:hAnsiTheme="minorHAnsi"/>
          <w:i/>
          <w:color w:val="404040" w:themeColor="text1" w:themeTint="BF"/>
          <w:sz w:val="16"/>
          <w:szCs w:val="16"/>
          <w:lang w:val="en-US"/>
        </w:rPr>
        <w:t xml:space="preserve">trengthening </w:t>
      </w:r>
      <w:r>
        <w:rPr>
          <w:rFonts w:asciiTheme="minorHAnsi" w:hAnsiTheme="minorHAnsi"/>
          <w:i/>
          <w:color w:val="404040" w:themeColor="text1" w:themeTint="BF"/>
          <w:sz w:val="16"/>
          <w:szCs w:val="16"/>
          <w:lang w:val="en-US"/>
        </w:rPr>
        <w:t>A</w:t>
      </w:r>
      <w:r w:rsidRPr="004F1A7B">
        <w:rPr>
          <w:rFonts w:asciiTheme="minorHAnsi" w:hAnsiTheme="minorHAnsi"/>
          <w:i/>
          <w:color w:val="404040" w:themeColor="text1" w:themeTint="BF"/>
          <w:sz w:val="16"/>
          <w:szCs w:val="16"/>
          <w:lang w:val="en-US"/>
        </w:rPr>
        <w:t xml:space="preserve">ccess to </w:t>
      </w:r>
      <w:r>
        <w:rPr>
          <w:rFonts w:asciiTheme="minorHAnsi" w:hAnsiTheme="minorHAnsi"/>
          <w:i/>
          <w:color w:val="404040" w:themeColor="text1" w:themeTint="BF"/>
          <w:sz w:val="16"/>
          <w:szCs w:val="16"/>
          <w:lang w:val="en-US"/>
        </w:rPr>
        <w:t>J</w:t>
      </w:r>
      <w:r w:rsidRPr="004F1A7B">
        <w:rPr>
          <w:rFonts w:asciiTheme="minorHAnsi" w:hAnsiTheme="minorHAnsi"/>
          <w:i/>
          <w:color w:val="404040" w:themeColor="text1" w:themeTint="BF"/>
          <w:sz w:val="16"/>
          <w:szCs w:val="16"/>
          <w:lang w:val="en-US"/>
        </w:rPr>
        <w:t xml:space="preserve">ustice and the </w:t>
      </w:r>
      <w:r>
        <w:rPr>
          <w:rFonts w:asciiTheme="minorHAnsi" w:hAnsiTheme="minorHAnsi"/>
          <w:i/>
          <w:color w:val="404040" w:themeColor="text1" w:themeTint="BF"/>
          <w:sz w:val="16"/>
          <w:szCs w:val="16"/>
          <w:lang w:val="en-US"/>
        </w:rPr>
        <w:t>R</w:t>
      </w:r>
      <w:r w:rsidRPr="004F1A7B">
        <w:rPr>
          <w:rFonts w:asciiTheme="minorHAnsi" w:hAnsiTheme="minorHAnsi"/>
          <w:i/>
          <w:color w:val="404040" w:themeColor="text1" w:themeTint="BF"/>
          <w:sz w:val="16"/>
          <w:szCs w:val="16"/>
          <w:lang w:val="en-US"/>
        </w:rPr>
        <w:t xml:space="preserve">ule of </w:t>
      </w:r>
      <w:r>
        <w:rPr>
          <w:rFonts w:asciiTheme="minorHAnsi" w:hAnsiTheme="minorHAnsi"/>
          <w:i/>
          <w:color w:val="404040" w:themeColor="text1" w:themeTint="BF"/>
          <w:sz w:val="16"/>
          <w:szCs w:val="16"/>
          <w:lang w:val="en-US"/>
        </w:rPr>
        <w:t>L</w:t>
      </w:r>
      <w:r w:rsidRPr="004F1A7B">
        <w:rPr>
          <w:rFonts w:asciiTheme="minorHAnsi" w:hAnsiTheme="minorHAnsi"/>
          <w:i/>
          <w:color w:val="404040" w:themeColor="text1" w:themeTint="BF"/>
          <w:sz w:val="16"/>
          <w:szCs w:val="16"/>
          <w:lang w:val="en-US"/>
        </w:rPr>
        <w:t>aw in the Americas</w:t>
      </w:r>
      <w:r w:rsidRPr="004F1A7B">
        <w:rPr>
          <w:rFonts w:asciiTheme="minorHAnsi" w:hAnsiTheme="minorHAnsi"/>
          <w:color w:val="404040" w:themeColor="text1" w:themeTint="BF"/>
          <w:sz w:val="16"/>
          <w:szCs w:val="16"/>
          <w:lang w:val="en-US"/>
        </w:rPr>
        <w:t>. OEA/</w:t>
      </w:r>
      <w:proofErr w:type="spellStart"/>
      <w:r w:rsidRPr="004F1A7B">
        <w:rPr>
          <w:rFonts w:asciiTheme="minorHAnsi" w:hAnsiTheme="minorHAnsi"/>
          <w:color w:val="404040" w:themeColor="text1" w:themeTint="BF"/>
          <w:sz w:val="16"/>
          <w:szCs w:val="16"/>
          <w:lang w:val="en-US"/>
        </w:rPr>
        <w:t>Ser.L</w:t>
      </w:r>
      <w:proofErr w:type="spellEnd"/>
      <w:r w:rsidRPr="004F1A7B">
        <w:rPr>
          <w:rFonts w:asciiTheme="minorHAnsi" w:hAnsiTheme="minorHAnsi"/>
          <w:color w:val="404040" w:themeColor="text1" w:themeTint="BF"/>
          <w:sz w:val="16"/>
          <w:szCs w:val="16"/>
          <w:lang w:val="en-US"/>
        </w:rPr>
        <w:t xml:space="preserve">/V/II. Doc. 44. 5 December 2013, para. 24. </w:t>
      </w:r>
    </w:p>
  </w:footnote>
  <w:footnote w:id="77">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Guar</w:t>
      </w:r>
      <w:r>
        <w:rPr>
          <w:rFonts w:asciiTheme="minorHAnsi" w:hAnsiTheme="minorHAnsi"/>
          <w:i/>
          <w:color w:val="404040" w:themeColor="text1" w:themeTint="BF"/>
          <w:sz w:val="16"/>
          <w:szCs w:val="16"/>
          <w:lang w:val="en-US"/>
        </w:rPr>
        <w:t>antees for the Independence of J</w:t>
      </w:r>
      <w:r w:rsidRPr="004F1A7B">
        <w:rPr>
          <w:rFonts w:asciiTheme="minorHAnsi" w:hAnsiTheme="minorHAnsi"/>
          <w:i/>
          <w:color w:val="404040" w:themeColor="text1" w:themeTint="BF"/>
          <w:sz w:val="16"/>
          <w:szCs w:val="16"/>
          <w:lang w:val="en-US"/>
        </w:rPr>
        <w:t xml:space="preserve">ustice </w:t>
      </w:r>
      <w:r>
        <w:rPr>
          <w:rFonts w:asciiTheme="minorHAnsi" w:hAnsiTheme="minorHAnsi"/>
          <w:i/>
          <w:color w:val="404040" w:themeColor="text1" w:themeTint="BF"/>
          <w:sz w:val="16"/>
          <w:szCs w:val="16"/>
          <w:lang w:val="en-US"/>
        </w:rPr>
        <w:t>O</w:t>
      </w:r>
      <w:r w:rsidRPr="004F1A7B">
        <w:rPr>
          <w:rFonts w:asciiTheme="minorHAnsi" w:hAnsiTheme="minorHAnsi"/>
          <w:i/>
          <w:color w:val="404040" w:themeColor="text1" w:themeTint="BF"/>
          <w:sz w:val="16"/>
          <w:szCs w:val="16"/>
          <w:lang w:val="en-US"/>
        </w:rPr>
        <w:t>perators</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 xml:space="preserve">Towards </w:t>
      </w:r>
      <w:r>
        <w:rPr>
          <w:rFonts w:asciiTheme="minorHAnsi" w:hAnsiTheme="minorHAnsi"/>
          <w:i/>
          <w:color w:val="404040" w:themeColor="text1" w:themeTint="BF"/>
          <w:sz w:val="16"/>
          <w:szCs w:val="16"/>
          <w:lang w:val="en-US"/>
        </w:rPr>
        <w:t>S</w:t>
      </w:r>
      <w:r w:rsidRPr="004F1A7B">
        <w:rPr>
          <w:rFonts w:asciiTheme="minorHAnsi" w:hAnsiTheme="minorHAnsi"/>
          <w:i/>
          <w:color w:val="404040" w:themeColor="text1" w:themeTint="BF"/>
          <w:sz w:val="16"/>
          <w:szCs w:val="16"/>
          <w:lang w:val="en-US"/>
        </w:rPr>
        <w:t xml:space="preserve">trengthening </w:t>
      </w:r>
      <w:r>
        <w:rPr>
          <w:rFonts w:asciiTheme="minorHAnsi" w:hAnsiTheme="minorHAnsi"/>
          <w:i/>
          <w:color w:val="404040" w:themeColor="text1" w:themeTint="BF"/>
          <w:sz w:val="16"/>
          <w:szCs w:val="16"/>
          <w:lang w:val="en-US"/>
        </w:rPr>
        <w:t>A</w:t>
      </w:r>
      <w:r w:rsidRPr="004F1A7B">
        <w:rPr>
          <w:rFonts w:asciiTheme="minorHAnsi" w:hAnsiTheme="minorHAnsi"/>
          <w:i/>
          <w:color w:val="404040" w:themeColor="text1" w:themeTint="BF"/>
          <w:sz w:val="16"/>
          <w:szCs w:val="16"/>
          <w:lang w:val="en-US"/>
        </w:rPr>
        <w:t xml:space="preserve">ccess to </w:t>
      </w:r>
      <w:r>
        <w:rPr>
          <w:rFonts w:asciiTheme="minorHAnsi" w:hAnsiTheme="minorHAnsi"/>
          <w:i/>
          <w:color w:val="404040" w:themeColor="text1" w:themeTint="BF"/>
          <w:sz w:val="16"/>
          <w:szCs w:val="16"/>
          <w:lang w:val="en-US"/>
        </w:rPr>
        <w:t>J</w:t>
      </w:r>
      <w:r w:rsidRPr="004F1A7B">
        <w:rPr>
          <w:rFonts w:asciiTheme="minorHAnsi" w:hAnsiTheme="minorHAnsi"/>
          <w:i/>
          <w:color w:val="404040" w:themeColor="text1" w:themeTint="BF"/>
          <w:sz w:val="16"/>
          <w:szCs w:val="16"/>
          <w:lang w:val="en-US"/>
        </w:rPr>
        <w:t xml:space="preserve">ustice and the </w:t>
      </w:r>
      <w:r>
        <w:rPr>
          <w:rFonts w:asciiTheme="minorHAnsi" w:hAnsiTheme="minorHAnsi"/>
          <w:i/>
          <w:color w:val="404040" w:themeColor="text1" w:themeTint="BF"/>
          <w:sz w:val="16"/>
          <w:szCs w:val="16"/>
          <w:lang w:val="en-US"/>
        </w:rPr>
        <w:t>R</w:t>
      </w:r>
      <w:r w:rsidRPr="004F1A7B">
        <w:rPr>
          <w:rFonts w:asciiTheme="minorHAnsi" w:hAnsiTheme="minorHAnsi"/>
          <w:i/>
          <w:color w:val="404040" w:themeColor="text1" w:themeTint="BF"/>
          <w:sz w:val="16"/>
          <w:szCs w:val="16"/>
          <w:lang w:val="en-US"/>
        </w:rPr>
        <w:t xml:space="preserve">ule of </w:t>
      </w:r>
      <w:r>
        <w:rPr>
          <w:rFonts w:asciiTheme="minorHAnsi" w:hAnsiTheme="minorHAnsi"/>
          <w:i/>
          <w:color w:val="404040" w:themeColor="text1" w:themeTint="BF"/>
          <w:sz w:val="16"/>
          <w:szCs w:val="16"/>
          <w:lang w:val="en-US"/>
        </w:rPr>
        <w:t>L</w:t>
      </w:r>
      <w:r w:rsidRPr="004F1A7B">
        <w:rPr>
          <w:rFonts w:asciiTheme="minorHAnsi" w:hAnsiTheme="minorHAnsi"/>
          <w:i/>
          <w:color w:val="404040" w:themeColor="text1" w:themeTint="BF"/>
          <w:sz w:val="16"/>
          <w:szCs w:val="16"/>
          <w:lang w:val="en-US"/>
        </w:rPr>
        <w:t>aw in the Americas</w:t>
      </w:r>
      <w:r w:rsidRPr="004F1A7B">
        <w:rPr>
          <w:rFonts w:asciiTheme="minorHAnsi" w:hAnsiTheme="minorHAnsi"/>
          <w:color w:val="404040" w:themeColor="text1" w:themeTint="BF"/>
          <w:sz w:val="16"/>
          <w:szCs w:val="16"/>
          <w:lang w:val="en-US"/>
        </w:rPr>
        <w:t>. OEA/</w:t>
      </w:r>
      <w:proofErr w:type="spellStart"/>
      <w:r w:rsidRPr="004F1A7B">
        <w:rPr>
          <w:rFonts w:asciiTheme="minorHAnsi" w:hAnsiTheme="minorHAnsi"/>
          <w:color w:val="404040" w:themeColor="text1" w:themeTint="BF"/>
          <w:sz w:val="16"/>
          <w:szCs w:val="16"/>
          <w:lang w:val="en-US"/>
        </w:rPr>
        <w:t>Ser.L</w:t>
      </w:r>
      <w:proofErr w:type="spellEnd"/>
      <w:r w:rsidRPr="004F1A7B">
        <w:rPr>
          <w:rFonts w:asciiTheme="minorHAnsi" w:hAnsiTheme="minorHAnsi"/>
          <w:color w:val="404040" w:themeColor="text1" w:themeTint="BF"/>
          <w:sz w:val="16"/>
          <w:szCs w:val="16"/>
          <w:lang w:val="en-US"/>
        </w:rPr>
        <w:t xml:space="preserve">/V/II. Doc. 44. 5 December 2013, para. 24. </w:t>
      </w:r>
    </w:p>
  </w:footnote>
  <w:footnote w:id="78">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5150D1">
        <w:rPr>
          <w:rFonts w:asciiTheme="minorHAnsi" w:hAnsiTheme="minorHAnsi" w:cs="Tahoma"/>
          <w:color w:val="404040" w:themeColor="text1" w:themeTint="BF"/>
          <w:sz w:val="16"/>
          <w:szCs w:val="16"/>
          <w:lang w:val="en-US"/>
        </w:rPr>
        <w:t xml:space="preserve">I/A Court H.R., </w:t>
      </w:r>
      <w:proofErr w:type="spellStart"/>
      <w:r w:rsidRPr="005150D1">
        <w:rPr>
          <w:rFonts w:asciiTheme="minorHAnsi" w:hAnsiTheme="minorHAnsi" w:cs="Tahoma"/>
          <w:i/>
          <w:color w:val="404040" w:themeColor="text1" w:themeTint="BF"/>
          <w:sz w:val="16"/>
          <w:szCs w:val="16"/>
          <w:lang w:val="en-US"/>
        </w:rPr>
        <w:t>Apitz-Barbera</w:t>
      </w:r>
      <w:proofErr w:type="spellEnd"/>
      <w:r w:rsidRPr="005150D1">
        <w:rPr>
          <w:rFonts w:asciiTheme="minorHAnsi" w:hAnsiTheme="minorHAnsi" w:cs="Tahoma"/>
          <w:i/>
          <w:color w:val="404040" w:themeColor="text1" w:themeTint="BF"/>
          <w:sz w:val="16"/>
          <w:szCs w:val="16"/>
          <w:lang w:val="en-US"/>
        </w:rPr>
        <w:t xml:space="preserve"> et al. (“First Court of </w:t>
      </w:r>
      <w:proofErr w:type="spellStart"/>
      <w:r w:rsidRPr="005150D1">
        <w:rPr>
          <w:rFonts w:asciiTheme="minorHAnsi" w:hAnsiTheme="minorHAnsi" w:cs="Tahoma"/>
          <w:i/>
          <w:color w:val="404040" w:themeColor="text1" w:themeTint="BF"/>
          <w:sz w:val="16"/>
          <w:szCs w:val="16"/>
          <w:lang w:val="en-US"/>
        </w:rPr>
        <w:t>Adminstrative</w:t>
      </w:r>
      <w:proofErr w:type="spellEnd"/>
      <w:r w:rsidRPr="005150D1">
        <w:rPr>
          <w:rFonts w:asciiTheme="minorHAnsi" w:hAnsiTheme="minorHAnsi" w:cs="Tahoma"/>
          <w:i/>
          <w:color w:val="404040" w:themeColor="text1" w:themeTint="BF"/>
          <w:sz w:val="16"/>
          <w:szCs w:val="16"/>
          <w:lang w:val="en-US"/>
        </w:rPr>
        <w:t xml:space="preserve"> Disputes”) v. Venezuela Case</w:t>
      </w:r>
      <w:r w:rsidRPr="005150D1">
        <w:rPr>
          <w:rFonts w:asciiTheme="minorHAnsi" w:hAnsiTheme="minorHAnsi" w:cs="Tahoma"/>
          <w:color w:val="404040" w:themeColor="text1" w:themeTint="BF"/>
          <w:sz w:val="16"/>
          <w:szCs w:val="16"/>
          <w:lang w:val="en-US"/>
        </w:rPr>
        <w:t>. Preliminary Objection, Merits, Reparations and Costs. Judgment of August 5, 2008. Series C No. 182</w:t>
      </w:r>
      <w:r w:rsidRPr="004F1A7B">
        <w:rPr>
          <w:rFonts w:asciiTheme="minorHAnsi" w:hAnsiTheme="minorHAnsi" w:cs="Tahoma"/>
          <w:color w:val="404040" w:themeColor="text1" w:themeTint="BF"/>
          <w:sz w:val="16"/>
          <w:szCs w:val="16"/>
          <w:lang w:val="en-US"/>
        </w:rPr>
        <w:t xml:space="preserve">, </w:t>
      </w:r>
      <w:r>
        <w:rPr>
          <w:rFonts w:asciiTheme="minorHAnsi" w:hAnsiTheme="minorHAnsi" w:cs="Tahoma"/>
          <w:color w:val="404040" w:themeColor="text1" w:themeTint="BF"/>
          <w:sz w:val="16"/>
          <w:szCs w:val="16"/>
          <w:lang w:val="en-US"/>
        </w:rPr>
        <w:t>para</w:t>
      </w:r>
      <w:r w:rsidRPr="004F1A7B">
        <w:rPr>
          <w:rFonts w:asciiTheme="minorHAnsi" w:hAnsiTheme="minorHAnsi" w:cs="Tahoma"/>
          <w:color w:val="404040" w:themeColor="text1" w:themeTint="BF"/>
          <w:sz w:val="16"/>
          <w:szCs w:val="16"/>
          <w:lang w:val="en-US"/>
        </w:rPr>
        <w:t>. 147.</w:t>
      </w:r>
    </w:p>
  </w:footnote>
  <w:footnote w:id="79">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The State pointed to some measures to strengthen the judicial branch: In a qualitative follow-up of judicial cases with a social impact involving human rights violations, the Human Rights Department of the judiciary has identified 45 cases of possible violations of human rights. In addition, </w:t>
      </w:r>
      <w:proofErr w:type="gramStart"/>
      <w:r w:rsidRPr="004F1A7B">
        <w:rPr>
          <w:rFonts w:asciiTheme="minorHAnsi" w:hAnsiTheme="minorHAnsi"/>
          <w:color w:val="404040" w:themeColor="text1" w:themeTint="BF"/>
          <w:sz w:val="16"/>
          <w:szCs w:val="16"/>
          <w:lang w:val="en-US"/>
        </w:rPr>
        <w:t>in order to</w:t>
      </w:r>
      <w:proofErr w:type="gramEnd"/>
      <w:r w:rsidRPr="004F1A7B">
        <w:rPr>
          <w:rFonts w:asciiTheme="minorHAnsi" w:hAnsiTheme="minorHAnsi"/>
          <w:color w:val="404040" w:themeColor="text1" w:themeTint="BF"/>
          <w:sz w:val="16"/>
          <w:szCs w:val="16"/>
          <w:lang w:val="en-US"/>
        </w:rPr>
        <w:t xml:space="preserve"> facilitate access to justice, support has been given to the National Service for Judicial Facilitators, which currently has a staff of 864. The Office of the Inspector General of the Courts in 2013 received 821 complaints, 307 of which were found to have merit, with the respective disciplinary process begun; 394 were found to be without merit; and 120 are being investigated. Of the complaints investigated, 24 were sent to the Office of the Public Prosecutor because they appeared to constitute criminal acts. Meanwhile, </w:t>
      </w:r>
      <w:proofErr w:type="gramStart"/>
      <w:r w:rsidRPr="004F1A7B">
        <w:rPr>
          <w:rFonts w:asciiTheme="minorHAnsi" w:hAnsiTheme="minorHAnsi"/>
          <w:color w:val="404040" w:themeColor="text1" w:themeTint="BF"/>
          <w:sz w:val="16"/>
          <w:szCs w:val="16"/>
          <w:lang w:val="en-US"/>
        </w:rPr>
        <w:t>in order to</w:t>
      </w:r>
      <w:proofErr w:type="gramEnd"/>
      <w:r w:rsidRPr="004F1A7B">
        <w:rPr>
          <w:rFonts w:asciiTheme="minorHAnsi" w:hAnsiTheme="minorHAnsi"/>
          <w:color w:val="404040" w:themeColor="text1" w:themeTint="BF"/>
          <w:sz w:val="16"/>
          <w:szCs w:val="16"/>
          <w:lang w:val="en-US"/>
        </w:rPr>
        <w:t xml:space="preserve"> help reduce the judicial backlog, a “purging of case files” was carried out, and 12,298 files out of a total 40,660 reviewed were voided. In addition, the Center for Non-Formal Justice has resolved 267 reconciliations, provided 1,147 consultations, and benefited 9,818 men and 10,024 women. Government of Honduras. Information presented on December 4, 2014. </w:t>
      </w:r>
    </w:p>
  </w:footnote>
  <w:footnote w:id="80">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Guarantees for the Independence of Justice Operators. Towards Strengthening Access to Justice and the Rule of Law in the America</w:t>
      </w:r>
      <w:r>
        <w:rPr>
          <w:rFonts w:asciiTheme="minorHAnsi" w:hAnsiTheme="minorHAnsi"/>
          <w:i/>
          <w:color w:val="404040" w:themeColor="text1" w:themeTint="BF"/>
          <w:sz w:val="16"/>
          <w:szCs w:val="16"/>
          <w:lang w:val="en-US"/>
        </w:rPr>
        <w:t>s</w:t>
      </w:r>
      <w:r w:rsidRPr="004F1A7B">
        <w:rPr>
          <w:rFonts w:asciiTheme="minorHAnsi" w:hAnsiTheme="minorHAnsi"/>
          <w:color w:val="404040" w:themeColor="text1" w:themeTint="BF"/>
          <w:sz w:val="16"/>
          <w:szCs w:val="16"/>
          <w:lang w:val="en-US"/>
        </w:rPr>
        <w:t>. OEA/</w:t>
      </w:r>
      <w:proofErr w:type="spellStart"/>
      <w:r w:rsidRPr="004F1A7B">
        <w:rPr>
          <w:rFonts w:asciiTheme="minorHAnsi" w:hAnsiTheme="minorHAnsi"/>
          <w:color w:val="404040" w:themeColor="text1" w:themeTint="BF"/>
          <w:sz w:val="16"/>
          <w:szCs w:val="16"/>
          <w:lang w:val="en-US"/>
        </w:rPr>
        <w:t>Ser.L</w:t>
      </w:r>
      <w:proofErr w:type="spellEnd"/>
      <w:r w:rsidRPr="004F1A7B">
        <w:rPr>
          <w:rFonts w:asciiTheme="minorHAnsi" w:hAnsiTheme="minorHAnsi"/>
          <w:color w:val="404040" w:themeColor="text1" w:themeTint="BF"/>
          <w:sz w:val="16"/>
          <w:szCs w:val="16"/>
          <w:lang w:val="en-US"/>
        </w:rPr>
        <w:t>/V//II. Doc. 44, 5 December 2013, para.30.</w:t>
      </w:r>
    </w:p>
  </w:footnote>
  <w:footnote w:id="81">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Democracy and Human Rights in Venezuela</w:t>
      </w:r>
      <w:r w:rsidRPr="004F1A7B">
        <w:rPr>
          <w:rFonts w:asciiTheme="minorHAnsi" w:hAnsiTheme="minorHAnsi"/>
          <w:color w:val="404040" w:themeColor="text1" w:themeTint="BF"/>
          <w:sz w:val="16"/>
          <w:szCs w:val="16"/>
          <w:lang w:val="en-US"/>
        </w:rPr>
        <w:t>. OEA/</w:t>
      </w:r>
      <w:proofErr w:type="spellStart"/>
      <w:r w:rsidRPr="004F1A7B">
        <w:rPr>
          <w:rFonts w:asciiTheme="minorHAnsi" w:hAnsiTheme="minorHAnsi"/>
          <w:color w:val="404040" w:themeColor="text1" w:themeTint="BF"/>
          <w:sz w:val="16"/>
          <w:szCs w:val="16"/>
          <w:lang w:val="en-US"/>
        </w:rPr>
        <w:t>Ser.L</w:t>
      </w:r>
      <w:proofErr w:type="spellEnd"/>
      <w:r w:rsidRPr="004F1A7B">
        <w:rPr>
          <w:rFonts w:asciiTheme="minorHAnsi" w:hAnsiTheme="minorHAnsi"/>
          <w:color w:val="404040" w:themeColor="text1" w:themeTint="BF"/>
          <w:sz w:val="16"/>
          <w:szCs w:val="16"/>
          <w:lang w:val="en-US"/>
        </w:rPr>
        <w:t>/V/II. Doc. 54, 30 December 2009, para. 185.</w:t>
      </w:r>
    </w:p>
  </w:footnote>
  <w:footnote w:id="82">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56522E">
        <w:rPr>
          <w:rFonts w:asciiTheme="minorHAnsi" w:hAnsiTheme="minorHAnsi"/>
          <w:color w:val="404040" w:themeColor="text1" w:themeTint="BF"/>
          <w:sz w:val="16"/>
          <w:szCs w:val="16"/>
          <w:lang w:val="en-US"/>
        </w:rPr>
        <w:t>I/A Court H.R.,</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 xml:space="preserve">Case of </w:t>
      </w:r>
      <w:proofErr w:type="spellStart"/>
      <w:r w:rsidRPr="004F1A7B">
        <w:rPr>
          <w:rFonts w:asciiTheme="minorHAnsi" w:hAnsiTheme="minorHAnsi"/>
          <w:i/>
          <w:color w:val="404040" w:themeColor="text1" w:themeTint="BF"/>
          <w:sz w:val="16"/>
          <w:szCs w:val="16"/>
          <w:lang w:val="en-US"/>
        </w:rPr>
        <w:t>Reverón</w:t>
      </w:r>
      <w:proofErr w:type="spellEnd"/>
      <w:r w:rsidRPr="004F1A7B">
        <w:rPr>
          <w:rFonts w:asciiTheme="minorHAnsi" w:hAnsiTheme="minorHAnsi"/>
          <w:i/>
          <w:color w:val="404040" w:themeColor="text1" w:themeTint="BF"/>
          <w:sz w:val="16"/>
          <w:szCs w:val="16"/>
          <w:lang w:val="en-US"/>
        </w:rPr>
        <w:t xml:space="preserve"> Trujillo v. Venezuela</w:t>
      </w:r>
      <w:r w:rsidRPr="004F1A7B">
        <w:rPr>
          <w:rFonts w:asciiTheme="minorHAnsi" w:hAnsiTheme="minorHAnsi"/>
          <w:color w:val="404040" w:themeColor="text1" w:themeTint="BF"/>
          <w:sz w:val="16"/>
          <w:szCs w:val="16"/>
          <w:lang w:val="en-US"/>
        </w:rPr>
        <w:t>. Preliminary Objection, Merits, Reparations, and Costs. Judgment of June 30, 2009. Series C No. 197, para. 74.</w:t>
      </w:r>
    </w:p>
  </w:footnote>
  <w:footnote w:id="83">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56522E">
        <w:rPr>
          <w:rFonts w:asciiTheme="minorHAnsi" w:hAnsiTheme="minorHAnsi"/>
          <w:color w:val="404040" w:themeColor="text1" w:themeTint="BF"/>
          <w:sz w:val="16"/>
          <w:szCs w:val="16"/>
          <w:lang w:val="en-US"/>
        </w:rPr>
        <w:t>I/A Court H.R.</w:t>
      </w:r>
      <w:proofErr w:type="gramStart"/>
      <w:r w:rsidRPr="0056522E">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Case</w:t>
      </w:r>
      <w:proofErr w:type="gramEnd"/>
      <w:r w:rsidRPr="004F1A7B">
        <w:rPr>
          <w:rFonts w:asciiTheme="minorHAnsi" w:hAnsiTheme="minorHAnsi"/>
          <w:i/>
          <w:color w:val="404040" w:themeColor="text1" w:themeTint="BF"/>
          <w:sz w:val="16"/>
          <w:szCs w:val="16"/>
          <w:lang w:val="en-US"/>
        </w:rPr>
        <w:t xml:space="preserve"> of </w:t>
      </w:r>
      <w:proofErr w:type="spellStart"/>
      <w:r w:rsidRPr="004F1A7B">
        <w:rPr>
          <w:rFonts w:asciiTheme="minorHAnsi" w:hAnsiTheme="minorHAnsi"/>
          <w:i/>
          <w:color w:val="404040" w:themeColor="text1" w:themeTint="BF"/>
          <w:sz w:val="16"/>
          <w:szCs w:val="16"/>
          <w:lang w:val="en-US"/>
        </w:rPr>
        <w:t>Reverón</w:t>
      </w:r>
      <w:proofErr w:type="spellEnd"/>
      <w:r w:rsidRPr="004F1A7B">
        <w:rPr>
          <w:rFonts w:asciiTheme="minorHAnsi" w:hAnsiTheme="minorHAnsi"/>
          <w:i/>
          <w:color w:val="404040" w:themeColor="text1" w:themeTint="BF"/>
          <w:sz w:val="16"/>
          <w:szCs w:val="16"/>
          <w:lang w:val="en-US"/>
        </w:rPr>
        <w:t xml:space="preserve"> Trujillo v. Venezuela</w:t>
      </w:r>
      <w:r w:rsidRPr="004F1A7B">
        <w:rPr>
          <w:rFonts w:asciiTheme="minorHAnsi" w:hAnsiTheme="minorHAnsi"/>
          <w:color w:val="404040" w:themeColor="text1" w:themeTint="BF"/>
          <w:sz w:val="16"/>
          <w:szCs w:val="16"/>
          <w:lang w:val="en-US"/>
        </w:rPr>
        <w:t>. Preliminary Objection, Merits, Reparations, and Costs. Judgment of June 30, 2009. Series C No. 197, para. 74.</w:t>
      </w:r>
    </w:p>
  </w:footnote>
  <w:footnote w:id="84">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Democracy and Human Rights in Venezuela</w:t>
      </w:r>
      <w:r w:rsidRPr="004F1A7B">
        <w:rPr>
          <w:rFonts w:asciiTheme="minorHAnsi" w:hAnsiTheme="minorHAnsi"/>
          <w:color w:val="404040" w:themeColor="text1" w:themeTint="BF"/>
          <w:sz w:val="16"/>
          <w:szCs w:val="16"/>
          <w:lang w:val="en-US"/>
        </w:rPr>
        <w:t>. OEA/</w:t>
      </w:r>
      <w:proofErr w:type="spellStart"/>
      <w:r w:rsidRPr="004F1A7B">
        <w:rPr>
          <w:rFonts w:asciiTheme="minorHAnsi" w:hAnsiTheme="minorHAnsi"/>
          <w:color w:val="404040" w:themeColor="text1" w:themeTint="BF"/>
          <w:sz w:val="16"/>
          <w:szCs w:val="16"/>
          <w:lang w:val="en-US"/>
        </w:rPr>
        <w:t>Ser.L</w:t>
      </w:r>
      <w:proofErr w:type="spellEnd"/>
      <w:r w:rsidRPr="004F1A7B">
        <w:rPr>
          <w:rFonts w:asciiTheme="minorHAnsi" w:hAnsiTheme="minorHAnsi"/>
          <w:color w:val="404040" w:themeColor="text1" w:themeTint="BF"/>
          <w:sz w:val="16"/>
          <w:szCs w:val="16"/>
          <w:lang w:val="en-US"/>
        </w:rPr>
        <w:t xml:space="preserve">/V/II. Doc. 54, December 30, 2009, para. 187. Available at: </w:t>
      </w:r>
      <w:hyperlink r:id="rId47" w:history="1">
        <w:r w:rsidRPr="004F1A7B">
          <w:rPr>
            <w:rStyle w:val="Hipervnculo"/>
            <w:rFonts w:asciiTheme="minorHAnsi" w:hAnsiTheme="minorHAnsi"/>
            <w:color w:val="404040" w:themeColor="text1" w:themeTint="BF"/>
            <w:sz w:val="16"/>
            <w:szCs w:val="16"/>
            <w:u w:color="A6A6A6" w:themeColor="background1" w:themeShade="A6"/>
            <w:lang w:val="en-US"/>
          </w:rPr>
          <w:t>http://www.cidh.org/pdf%20files/VENEZUELA%202009%20ENG.pdf</w:t>
        </w:r>
      </w:hyperlink>
      <w:r w:rsidRPr="004F1A7B">
        <w:rPr>
          <w:rFonts w:asciiTheme="minorHAnsi" w:hAnsiTheme="minorHAnsi"/>
          <w:color w:val="404040" w:themeColor="text1" w:themeTint="BF"/>
          <w:sz w:val="16"/>
          <w:szCs w:val="16"/>
          <w:lang w:val="en-US"/>
        </w:rPr>
        <w:t xml:space="preserve">. </w:t>
      </w:r>
    </w:p>
  </w:footnote>
  <w:footnote w:id="85">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48" w:history="1">
        <w:r w:rsidRPr="004F1A7B">
          <w:rPr>
            <w:rStyle w:val="Hipervnculo"/>
            <w:rFonts w:asciiTheme="minorHAnsi" w:hAnsiTheme="minorHAnsi"/>
            <w:i/>
            <w:color w:val="404040" w:themeColor="text1" w:themeTint="BF"/>
            <w:sz w:val="16"/>
            <w:szCs w:val="16"/>
            <w:u w:color="A6A6A6" w:themeColor="background1" w:themeShade="A6"/>
            <w:lang w:val="en-US"/>
          </w:rPr>
          <w:t>Guarantees for the independence of justice operators: Towards strengthening access to justice and the rule of law in the Americas</w:t>
        </w:r>
      </w:hyperlink>
      <w:r w:rsidRPr="004F1A7B">
        <w:rPr>
          <w:rFonts w:asciiTheme="minorHAnsi" w:hAnsiTheme="minorHAnsi"/>
          <w:color w:val="404040" w:themeColor="text1" w:themeTint="BF"/>
          <w:sz w:val="16"/>
          <w:szCs w:val="16"/>
          <w:lang w:val="en-US"/>
        </w:rPr>
        <w:t>. OEA/</w:t>
      </w:r>
      <w:proofErr w:type="spellStart"/>
      <w:r w:rsidRPr="004F1A7B">
        <w:rPr>
          <w:rFonts w:asciiTheme="minorHAnsi" w:hAnsiTheme="minorHAnsi"/>
          <w:color w:val="404040" w:themeColor="text1" w:themeTint="BF"/>
          <w:sz w:val="16"/>
          <w:szCs w:val="16"/>
          <w:lang w:val="en-US"/>
        </w:rPr>
        <w:t>Ser.L</w:t>
      </w:r>
      <w:proofErr w:type="spellEnd"/>
      <w:r w:rsidRPr="004F1A7B">
        <w:rPr>
          <w:rFonts w:asciiTheme="minorHAnsi" w:hAnsiTheme="minorHAnsi"/>
          <w:color w:val="404040" w:themeColor="text1" w:themeTint="BF"/>
          <w:sz w:val="16"/>
          <w:szCs w:val="16"/>
          <w:lang w:val="en-US"/>
        </w:rPr>
        <w:t xml:space="preserve">/V/II. Doc. 44, December 5, 2014, para. 79. Available at: </w:t>
      </w:r>
      <w:hyperlink r:id="rId49" w:history="1">
        <w:r w:rsidRPr="004F1A7B">
          <w:rPr>
            <w:rStyle w:val="Hipervnculo"/>
            <w:rFonts w:asciiTheme="minorHAnsi" w:hAnsiTheme="minorHAnsi"/>
            <w:color w:val="404040" w:themeColor="text1" w:themeTint="BF"/>
            <w:sz w:val="16"/>
            <w:szCs w:val="16"/>
            <w:u w:color="A6A6A6" w:themeColor="background1" w:themeShade="A6"/>
            <w:lang w:val="en-US"/>
          </w:rPr>
          <w:t>http://–www.oas.org/es/cidh/defensores/docs/pdf/Justice-Operators-2013.pdf</w:t>
        </w:r>
      </w:hyperlink>
      <w:r w:rsidRPr="004F1A7B">
        <w:rPr>
          <w:rFonts w:asciiTheme="minorHAnsi" w:hAnsiTheme="minorHAnsi"/>
          <w:color w:val="404040" w:themeColor="text1" w:themeTint="BF"/>
          <w:sz w:val="16"/>
          <w:szCs w:val="16"/>
          <w:lang w:val="en-US"/>
        </w:rPr>
        <w:t xml:space="preserve">. </w:t>
      </w:r>
    </w:p>
  </w:footnote>
  <w:footnote w:id="86">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See Case 12.816, </w:t>
      </w:r>
      <w:proofErr w:type="spellStart"/>
      <w:r w:rsidRPr="004F1A7B">
        <w:rPr>
          <w:rFonts w:asciiTheme="minorHAnsi" w:hAnsiTheme="minorHAnsi"/>
          <w:i/>
          <w:color w:val="404040" w:themeColor="text1" w:themeTint="BF"/>
          <w:sz w:val="16"/>
          <w:szCs w:val="16"/>
          <w:lang w:val="en-US"/>
        </w:rPr>
        <w:t>Adán</w:t>
      </w:r>
      <w:proofErr w:type="spellEnd"/>
      <w:r w:rsidRPr="004F1A7B">
        <w:rPr>
          <w:rFonts w:asciiTheme="minorHAnsi" w:hAnsiTheme="minorHAnsi"/>
          <w:i/>
          <w:color w:val="404040" w:themeColor="text1" w:themeTint="BF"/>
          <w:sz w:val="16"/>
          <w:szCs w:val="16"/>
          <w:lang w:val="en-US"/>
        </w:rPr>
        <w:t xml:space="preserve"> Guillermo López Lone et al</w:t>
      </w:r>
      <w:r w:rsidRPr="004F1A7B">
        <w:rPr>
          <w:rFonts w:asciiTheme="minorHAnsi" w:hAnsiTheme="minorHAnsi"/>
          <w:color w:val="404040" w:themeColor="text1" w:themeTint="BF"/>
          <w:sz w:val="16"/>
          <w:szCs w:val="16"/>
          <w:lang w:val="en-US"/>
        </w:rPr>
        <w:t xml:space="preserve">. Date of submission to the Court: March 17, 2014. Available at: </w:t>
      </w:r>
      <w:hyperlink r:id="rId50" w:history="1">
        <w:r w:rsidRPr="004F1A7B">
          <w:rPr>
            <w:rStyle w:val="Hipervnculo"/>
            <w:rFonts w:asciiTheme="minorHAnsi" w:hAnsiTheme="minorHAnsi"/>
            <w:color w:val="404040" w:themeColor="text1" w:themeTint="BF"/>
            <w:sz w:val="16"/>
            <w:szCs w:val="16"/>
            <w:u w:color="A6A6A6" w:themeColor="background1" w:themeShade="A6"/>
            <w:lang w:val="en-US"/>
          </w:rPr>
          <w:t>http://www.oas.org/en/iachr/decisions/cases.asp</w:t>
        </w:r>
      </w:hyperlink>
      <w:r w:rsidRPr="004F1A7B">
        <w:rPr>
          <w:rFonts w:asciiTheme="minorHAnsi" w:hAnsiTheme="minorHAnsi"/>
          <w:color w:val="404040" w:themeColor="text1" w:themeTint="BF"/>
          <w:sz w:val="16"/>
          <w:szCs w:val="16"/>
          <w:lang w:val="en-US"/>
        </w:rPr>
        <w:t xml:space="preserve">. </w:t>
      </w:r>
    </w:p>
  </w:footnote>
  <w:footnote w:id="87">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By way of background to this second event, the information available indicates that on November 27, 2012, the Constitutional Chamber ruled that Legislative Decree No. 89-2012, which contained the so-called “Police Purge Law,” was unconstitutional. On December 12, 2012, the National Congress decided to remove the following Supreme Court justices from office: Rosalinda Cruz </w:t>
      </w:r>
      <w:proofErr w:type="spellStart"/>
      <w:r w:rsidRPr="004F1A7B">
        <w:rPr>
          <w:rFonts w:asciiTheme="minorHAnsi" w:hAnsiTheme="minorHAnsi"/>
          <w:color w:val="404040" w:themeColor="text1" w:themeTint="BF"/>
          <w:sz w:val="16"/>
          <w:szCs w:val="16"/>
          <w:lang w:val="en-US"/>
        </w:rPr>
        <w:t>Sequeira</w:t>
      </w:r>
      <w:proofErr w:type="spellEnd"/>
      <w:r w:rsidRPr="004F1A7B">
        <w:rPr>
          <w:rFonts w:asciiTheme="minorHAnsi" w:hAnsiTheme="minorHAnsi"/>
          <w:color w:val="404040" w:themeColor="text1" w:themeTint="BF"/>
          <w:sz w:val="16"/>
          <w:szCs w:val="16"/>
          <w:lang w:val="en-US"/>
        </w:rPr>
        <w:t xml:space="preserve">, José Francisco Ruiz </w:t>
      </w:r>
      <w:proofErr w:type="spellStart"/>
      <w:r w:rsidRPr="004F1A7B">
        <w:rPr>
          <w:rFonts w:asciiTheme="minorHAnsi" w:hAnsiTheme="minorHAnsi"/>
          <w:color w:val="404040" w:themeColor="text1" w:themeTint="BF"/>
          <w:sz w:val="16"/>
          <w:szCs w:val="16"/>
          <w:lang w:val="en-US"/>
        </w:rPr>
        <w:t>Gaekel</w:t>
      </w:r>
      <w:proofErr w:type="spellEnd"/>
      <w:r w:rsidRPr="004F1A7B">
        <w:rPr>
          <w:rFonts w:asciiTheme="minorHAnsi" w:hAnsiTheme="minorHAnsi"/>
          <w:color w:val="404040" w:themeColor="text1" w:themeTint="BF"/>
          <w:sz w:val="16"/>
          <w:szCs w:val="16"/>
          <w:lang w:val="en-US"/>
        </w:rPr>
        <w:t xml:space="preserve">, Gustavo Enrique Bustillo Palma, and José Antonio Gutiérrez </w:t>
      </w:r>
      <w:proofErr w:type="spellStart"/>
      <w:r w:rsidRPr="004F1A7B">
        <w:rPr>
          <w:rFonts w:asciiTheme="minorHAnsi" w:hAnsiTheme="minorHAnsi"/>
          <w:color w:val="404040" w:themeColor="text1" w:themeTint="BF"/>
          <w:sz w:val="16"/>
          <w:szCs w:val="16"/>
          <w:lang w:val="en-US"/>
        </w:rPr>
        <w:t>Navas</w:t>
      </w:r>
      <w:proofErr w:type="spellEnd"/>
      <w:r w:rsidRPr="004F1A7B">
        <w:rPr>
          <w:rFonts w:asciiTheme="minorHAnsi" w:hAnsiTheme="minorHAnsi"/>
          <w:color w:val="404040" w:themeColor="text1" w:themeTint="BF"/>
          <w:sz w:val="16"/>
          <w:szCs w:val="16"/>
          <w:lang w:val="en-US"/>
        </w:rPr>
        <w:t>. That same day, Congress appointed and swore in the new justices to serve on the Constitutional Chamber’s bench. See IACHR, Annual Report 2013, Chapter IV(B).</w:t>
      </w:r>
    </w:p>
  </w:footnote>
  <w:footnote w:id="88">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Legislative Decree 219-2011. Law on the National Council of the Judiciary. Available at: </w:t>
      </w:r>
      <w:hyperlink r:id="rId51" w:history="1">
        <w:r w:rsidRPr="004F1A7B">
          <w:rPr>
            <w:rStyle w:val="Hipervnculo"/>
            <w:rFonts w:asciiTheme="minorHAnsi" w:hAnsiTheme="minorHAnsi"/>
            <w:color w:val="404040" w:themeColor="text1" w:themeTint="BF"/>
            <w:sz w:val="16"/>
            <w:szCs w:val="16"/>
            <w:u w:color="A6A6A6" w:themeColor="background1" w:themeShade="A6"/>
            <w:lang w:val="en-US"/>
          </w:rPr>
          <w:t>http://www–.tsc.gob.hn/biblioteca/index.php/leyes/280-ley-del-consejo-de-la-judicatura-y-la-carrera-judicial</w:t>
        </w:r>
      </w:hyperlink>
      <w:r w:rsidRPr="004F1A7B">
        <w:rPr>
          <w:rFonts w:asciiTheme="minorHAnsi" w:hAnsiTheme="minorHAnsi"/>
          <w:color w:val="404040" w:themeColor="text1" w:themeTint="BF"/>
          <w:sz w:val="16"/>
          <w:szCs w:val="16"/>
          <w:lang w:val="en-US"/>
        </w:rPr>
        <w:t xml:space="preserve">. </w:t>
      </w:r>
    </w:p>
  </w:footnote>
  <w:footnote w:id="89">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s-CO"/>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La Prensa, </w:t>
      </w:r>
      <w:hyperlink r:id="rId52" w:history="1">
        <w:r w:rsidRPr="004F1A7B">
          <w:rPr>
            <w:rStyle w:val="Hipervnculo"/>
            <w:rFonts w:asciiTheme="minorHAnsi" w:hAnsiTheme="minorHAnsi"/>
            <w:i/>
            <w:color w:val="404040" w:themeColor="text1" w:themeTint="BF"/>
            <w:sz w:val="16"/>
            <w:szCs w:val="16"/>
            <w:u w:color="A6A6A6" w:themeColor="background1" w:themeShade="A6"/>
            <w:lang w:val="es-CO"/>
          </w:rPr>
          <w:t>Depuración del Poder Judicial de Honduras durará 5 años</w:t>
        </w:r>
      </w:hyperlink>
      <w:r w:rsidRPr="004F1A7B">
        <w:rPr>
          <w:rFonts w:asciiTheme="minorHAnsi" w:hAnsiTheme="minorHAnsi"/>
          <w:color w:val="404040" w:themeColor="text1" w:themeTint="BF"/>
          <w:sz w:val="16"/>
          <w:szCs w:val="16"/>
          <w:lang w:val="es-CO"/>
        </w:rPr>
        <w:t xml:space="preserve">, </w:t>
      </w:r>
      <w:proofErr w:type="spellStart"/>
      <w:r w:rsidRPr="004F1A7B">
        <w:rPr>
          <w:rFonts w:asciiTheme="minorHAnsi" w:hAnsiTheme="minorHAnsi"/>
          <w:color w:val="404040" w:themeColor="text1" w:themeTint="BF"/>
          <w:sz w:val="16"/>
          <w:szCs w:val="16"/>
          <w:lang w:val="es-CO"/>
        </w:rPr>
        <w:t>February</w:t>
      </w:r>
      <w:proofErr w:type="spellEnd"/>
      <w:r w:rsidRPr="004F1A7B">
        <w:rPr>
          <w:rFonts w:asciiTheme="minorHAnsi" w:hAnsiTheme="minorHAnsi"/>
          <w:color w:val="404040" w:themeColor="text1" w:themeTint="BF"/>
          <w:sz w:val="16"/>
          <w:szCs w:val="16"/>
          <w:lang w:val="es-CO"/>
        </w:rPr>
        <w:t xml:space="preserve"> 18, 2014.</w:t>
      </w:r>
    </w:p>
  </w:footnote>
  <w:footnote w:id="90">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The National Council of the Judiciary was created on November 17, 2011, by means of Decree 219-2011, Law on the Council of the Judiciary. Available at: </w:t>
      </w:r>
      <w:hyperlink r:id="rId53" w:history="1">
        <w:r w:rsidRPr="004F1A7B">
          <w:rPr>
            <w:rStyle w:val="Hipervnculo"/>
            <w:rFonts w:asciiTheme="minorHAnsi" w:hAnsiTheme="minorHAnsi"/>
            <w:color w:val="404040" w:themeColor="text1" w:themeTint="BF"/>
            <w:sz w:val="16"/>
            <w:szCs w:val="16"/>
            <w:u w:color="A6A6A6" w:themeColor="background1" w:themeShade="A6"/>
            <w:lang w:val="en-US"/>
          </w:rPr>
          <w:t>http://www.tsc.gob.hn/biblioteca/index.php/leyes/280-ley-del-consejo-de-la-judicatura-y-la-carrera-judicial</w:t>
        </w:r>
      </w:hyperlink>
      <w:r w:rsidRPr="004F1A7B">
        <w:rPr>
          <w:rFonts w:asciiTheme="minorHAnsi" w:hAnsiTheme="minorHAnsi"/>
          <w:color w:val="404040" w:themeColor="text1" w:themeTint="BF"/>
          <w:sz w:val="16"/>
          <w:szCs w:val="16"/>
          <w:lang w:val="en-US"/>
        </w:rPr>
        <w:t xml:space="preserve">. </w:t>
      </w:r>
    </w:p>
  </w:footnote>
  <w:footnote w:id="91">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s-E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Radio Progreso. </w:t>
      </w:r>
      <w:hyperlink r:id="rId54" w:history="1">
        <w:r w:rsidRPr="004F1A7B">
          <w:rPr>
            <w:rStyle w:val="Hipervnculo"/>
            <w:rFonts w:asciiTheme="minorHAnsi" w:hAnsiTheme="minorHAnsi"/>
            <w:color w:val="404040" w:themeColor="text1" w:themeTint="BF"/>
            <w:sz w:val="16"/>
            <w:szCs w:val="16"/>
            <w:u w:color="A6A6A6" w:themeColor="background1" w:themeShade="A6"/>
            <w:lang w:val="es-CO"/>
          </w:rPr>
          <w:t>Clima de intimidación genera proceso de depuración judicial</w:t>
        </w:r>
      </w:hyperlink>
      <w:r w:rsidRPr="004F1A7B">
        <w:rPr>
          <w:rFonts w:asciiTheme="minorHAnsi" w:hAnsiTheme="minorHAnsi"/>
          <w:color w:val="404040" w:themeColor="text1" w:themeTint="BF"/>
          <w:sz w:val="16"/>
          <w:szCs w:val="16"/>
          <w:lang w:val="es-CO"/>
        </w:rPr>
        <w:t xml:space="preserve">, May 23, 2014. </w:t>
      </w:r>
      <w:r w:rsidRPr="004F1A7B">
        <w:rPr>
          <w:rFonts w:asciiTheme="minorHAnsi" w:hAnsiTheme="minorHAnsi"/>
          <w:color w:val="404040" w:themeColor="text1" w:themeTint="BF"/>
          <w:sz w:val="16"/>
          <w:szCs w:val="16"/>
          <w:lang w:val="en-US"/>
        </w:rPr>
        <w:t xml:space="preserve">Meeting with civil society organizations during the on-site visit to Honduras. </w:t>
      </w:r>
      <w:proofErr w:type="gramStart"/>
      <w:r w:rsidRPr="004F1A7B">
        <w:rPr>
          <w:rFonts w:asciiTheme="minorHAnsi" w:hAnsiTheme="minorHAnsi"/>
          <w:color w:val="404040" w:themeColor="text1" w:themeTint="BF"/>
          <w:sz w:val="16"/>
          <w:szCs w:val="16"/>
          <w:lang w:val="es-ES"/>
        </w:rPr>
        <w:t>Meeting</w:t>
      </w:r>
      <w:proofErr w:type="gramEnd"/>
      <w:r w:rsidRPr="004F1A7B">
        <w:rPr>
          <w:rFonts w:asciiTheme="minorHAnsi" w:hAnsiTheme="minorHAnsi"/>
          <w:color w:val="404040" w:themeColor="text1" w:themeTint="BF"/>
          <w:sz w:val="16"/>
          <w:szCs w:val="16"/>
          <w:lang w:val="es-ES"/>
        </w:rPr>
        <w:t xml:space="preserve"> in Tegucigalpa.</w:t>
      </w:r>
    </w:p>
  </w:footnote>
  <w:footnote w:id="92">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AJD. </w:t>
      </w:r>
      <w:r w:rsidRPr="004F1A7B">
        <w:rPr>
          <w:rFonts w:asciiTheme="minorHAnsi" w:hAnsiTheme="minorHAnsi"/>
          <w:i/>
          <w:color w:val="404040" w:themeColor="text1" w:themeTint="BF"/>
          <w:sz w:val="16"/>
          <w:szCs w:val="16"/>
          <w:lang w:val="es-ES"/>
        </w:rPr>
        <w:t>Actualización de Información sobre Seguridad y Justicia en Honduras</w:t>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n-US"/>
        </w:rPr>
        <w:t>On-site Visit to Honduras, San Pedro Sula, December 3, 2014.</w:t>
      </w:r>
    </w:p>
  </w:footnote>
  <w:footnote w:id="93">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Judiciary of Honduras. Council of the Judiciary and the Judicial Career Service. </w:t>
      </w:r>
      <w:r w:rsidRPr="004F1A7B">
        <w:rPr>
          <w:rFonts w:asciiTheme="minorHAnsi" w:hAnsiTheme="minorHAnsi"/>
          <w:i/>
          <w:color w:val="404040" w:themeColor="text1" w:themeTint="BF"/>
          <w:sz w:val="16"/>
          <w:szCs w:val="16"/>
          <w:lang w:val="en-US"/>
        </w:rPr>
        <w:t xml:space="preserve">Informe Primer </w:t>
      </w:r>
      <w:proofErr w:type="spellStart"/>
      <w:r w:rsidRPr="004F1A7B">
        <w:rPr>
          <w:rFonts w:asciiTheme="minorHAnsi" w:hAnsiTheme="minorHAnsi"/>
          <w:i/>
          <w:color w:val="404040" w:themeColor="text1" w:themeTint="BF"/>
          <w:sz w:val="16"/>
          <w:szCs w:val="16"/>
          <w:lang w:val="en-US"/>
        </w:rPr>
        <w:t>Año</w:t>
      </w:r>
      <w:proofErr w:type="spellEnd"/>
      <w:r w:rsidRPr="004F1A7B">
        <w:rPr>
          <w:rFonts w:asciiTheme="minorHAnsi" w:hAnsiTheme="minorHAnsi"/>
          <w:i/>
          <w:color w:val="404040" w:themeColor="text1" w:themeTint="BF"/>
          <w:sz w:val="16"/>
          <w:szCs w:val="16"/>
          <w:lang w:val="en-US"/>
        </w:rPr>
        <w:t xml:space="preserve">. </w:t>
      </w:r>
      <w:proofErr w:type="spellStart"/>
      <w:r w:rsidRPr="004F1A7B">
        <w:rPr>
          <w:rFonts w:asciiTheme="minorHAnsi" w:hAnsiTheme="minorHAnsi"/>
          <w:i/>
          <w:color w:val="404040" w:themeColor="text1" w:themeTint="BF"/>
          <w:sz w:val="16"/>
          <w:szCs w:val="16"/>
          <w:lang w:val="en-US"/>
        </w:rPr>
        <w:t>Rendición</w:t>
      </w:r>
      <w:proofErr w:type="spellEnd"/>
      <w:r w:rsidRPr="004F1A7B">
        <w:rPr>
          <w:rFonts w:asciiTheme="minorHAnsi" w:hAnsiTheme="minorHAnsi"/>
          <w:i/>
          <w:color w:val="404040" w:themeColor="text1" w:themeTint="BF"/>
          <w:sz w:val="16"/>
          <w:szCs w:val="16"/>
          <w:lang w:val="en-US"/>
        </w:rPr>
        <w:t xml:space="preserve"> de </w:t>
      </w:r>
      <w:proofErr w:type="spellStart"/>
      <w:r w:rsidRPr="004F1A7B">
        <w:rPr>
          <w:rFonts w:asciiTheme="minorHAnsi" w:hAnsiTheme="minorHAnsi"/>
          <w:i/>
          <w:color w:val="404040" w:themeColor="text1" w:themeTint="BF"/>
          <w:sz w:val="16"/>
          <w:szCs w:val="16"/>
          <w:lang w:val="en-US"/>
        </w:rPr>
        <w:t>Cuentas</w:t>
      </w:r>
      <w:proofErr w:type="spellEnd"/>
      <w:r w:rsidRPr="004F1A7B">
        <w:rPr>
          <w:rFonts w:asciiTheme="minorHAnsi" w:hAnsiTheme="minorHAnsi"/>
          <w:color w:val="404040" w:themeColor="text1" w:themeTint="BF"/>
          <w:sz w:val="16"/>
          <w:szCs w:val="16"/>
          <w:lang w:val="en-US"/>
        </w:rPr>
        <w:t>. October 11, 2014, p. 8.</w:t>
      </w:r>
    </w:p>
  </w:footnote>
  <w:footnote w:id="94">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According to the provisions of Article 33 of the Law on the Council of the Judiciary, “The selection process shall be conducted by a Selection Tribunal appointed by the Council for each job posting.”</w:t>
      </w:r>
    </w:p>
  </w:footnote>
  <w:footnote w:id="95">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_tradnl"/>
        </w:rPr>
        <w:t xml:space="preserve"> </w:t>
      </w:r>
      <w:r w:rsidRPr="004F1A7B">
        <w:rPr>
          <w:rFonts w:asciiTheme="minorHAnsi" w:hAnsiTheme="minorHAnsi"/>
          <w:color w:val="404040" w:themeColor="text1" w:themeTint="BF"/>
          <w:sz w:val="16"/>
          <w:szCs w:val="16"/>
          <w:lang w:val="es-ES_tradnl"/>
        </w:rPr>
        <w:tab/>
        <w:t xml:space="preserve">AJD. </w:t>
      </w:r>
      <w:r w:rsidRPr="004F1A7B">
        <w:rPr>
          <w:rFonts w:asciiTheme="minorHAnsi" w:hAnsiTheme="minorHAnsi"/>
          <w:i/>
          <w:color w:val="404040" w:themeColor="text1" w:themeTint="BF"/>
          <w:sz w:val="16"/>
          <w:szCs w:val="16"/>
          <w:lang w:val="es-ES_tradnl"/>
        </w:rPr>
        <w:t>Actualización de Información sobre Seguridad y Justicia en Honduras</w:t>
      </w:r>
      <w:r w:rsidRPr="004F1A7B">
        <w:rPr>
          <w:rFonts w:asciiTheme="minorHAnsi" w:hAnsiTheme="minorHAnsi"/>
          <w:color w:val="404040" w:themeColor="text1" w:themeTint="BF"/>
          <w:sz w:val="16"/>
          <w:szCs w:val="16"/>
          <w:lang w:val="es-ES_tradnl"/>
        </w:rPr>
        <w:t xml:space="preserve">. </w:t>
      </w:r>
      <w:r w:rsidRPr="004F1A7B">
        <w:rPr>
          <w:rFonts w:asciiTheme="minorHAnsi" w:hAnsiTheme="minorHAnsi"/>
          <w:color w:val="404040" w:themeColor="text1" w:themeTint="BF"/>
          <w:sz w:val="16"/>
          <w:szCs w:val="16"/>
          <w:lang w:val="en-US"/>
        </w:rPr>
        <w:t>On-site Visit to Honduras, San Pedro Sula, December 3, 2014.</w:t>
      </w:r>
    </w:p>
  </w:footnote>
  <w:footnote w:id="96">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Guarantees for the independence of justice operators: Towards strengthening access to justice and the rule of law in the Americas</w:t>
      </w:r>
      <w:r w:rsidRPr="004F1A7B">
        <w:rPr>
          <w:rFonts w:asciiTheme="minorHAnsi" w:hAnsiTheme="minorHAnsi"/>
          <w:color w:val="404040" w:themeColor="text1" w:themeTint="BF"/>
          <w:sz w:val="16"/>
          <w:szCs w:val="16"/>
          <w:lang w:val="en-US"/>
        </w:rPr>
        <w:t>. OEA/</w:t>
      </w:r>
      <w:proofErr w:type="spellStart"/>
      <w:r w:rsidRPr="004F1A7B">
        <w:rPr>
          <w:rFonts w:asciiTheme="minorHAnsi" w:hAnsiTheme="minorHAnsi"/>
          <w:color w:val="404040" w:themeColor="text1" w:themeTint="BF"/>
          <w:sz w:val="16"/>
          <w:szCs w:val="16"/>
          <w:lang w:val="en-US"/>
        </w:rPr>
        <w:t>Ser.L</w:t>
      </w:r>
      <w:proofErr w:type="spellEnd"/>
      <w:r w:rsidRPr="004F1A7B">
        <w:rPr>
          <w:rFonts w:asciiTheme="minorHAnsi" w:hAnsiTheme="minorHAnsi"/>
          <w:color w:val="404040" w:themeColor="text1" w:themeTint="BF"/>
          <w:sz w:val="16"/>
          <w:szCs w:val="16"/>
          <w:lang w:val="en-US"/>
        </w:rPr>
        <w:t xml:space="preserve">/V/II. Doc. 44, December 5, 2014, paras. 56 and ff. Available at: </w:t>
      </w:r>
      <w:hyperlink r:id="rId55" w:history="1">
        <w:r w:rsidRPr="004F1A7B">
          <w:rPr>
            <w:rStyle w:val="Hipervnculo"/>
            <w:rFonts w:asciiTheme="minorHAnsi" w:hAnsiTheme="minorHAnsi"/>
            <w:color w:val="404040" w:themeColor="text1" w:themeTint="BF"/>
            <w:sz w:val="16"/>
            <w:szCs w:val="16"/>
            <w:u w:color="A6A6A6" w:themeColor="background1" w:themeShade="A6"/>
            <w:lang w:val="en-US"/>
          </w:rPr>
          <w:t>http://www.oas.org/es/cidh/defensores/docs/pdf/Justice-Operators-2013.pdf</w:t>
        </w:r>
      </w:hyperlink>
      <w:r w:rsidRPr="004F1A7B">
        <w:rPr>
          <w:rFonts w:asciiTheme="minorHAnsi" w:hAnsiTheme="minorHAnsi"/>
          <w:color w:val="404040" w:themeColor="text1" w:themeTint="BF"/>
          <w:sz w:val="16"/>
          <w:szCs w:val="16"/>
          <w:lang w:val="en-US"/>
        </w:rPr>
        <w:t>.</w:t>
      </w:r>
    </w:p>
  </w:footnote>
  <w:footnote w:id="97">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Judiciary of Honduras. Council of the Judiciary and the Judicial Career Service. </w:t>
      </w:r>
      <w:r w:rsidRPr="004F1A7B">
        <w:rPr>
          <w:rFonts w:asciiTheme="minorHAnsi" w:hAnsiTheme="minorHAnsi"/>
          <w:i/>
          <w:color w:val="404040" w:themeColor="text1" w:themeTint="BF"/>
          <w:sz w:val="16"/>
          <w:szCs w:val="16"/>
          <w:lang w:val="en-US"/>
        </w:rPr>
        <w:t xml:space="preserve">Informe Primer </w:t>
      </w:r>
      <w:proofErr w:type="spellStart"/>
      <w:r w:rsidRPr="004F1A7B">
        <w:rPr>
          <w:rFonts w:asciiTheme="minorHAnsi" w:hAnsiTheme="minorHAnsi"/>
          <w:i/>
          <w:color w:val="404040" w:themeColor="text1" w:themeTint="BF"/>
          <w:sz w:val="16"/>
          <w:szCs w:val="16"/>
          <w:lang w:val="en-US"/>
        </w:rPr>
        <w:t>Año</w:t>
      </w:r>
      <w:proofErr w:type="spellEnd"/>
      <w:r w:rsidRPr="004F1A7B">
        <w:rPr>
          <w:rFonts w:asciiTheme="minorHAnsi" w:hAnsiTheme="minorHAnsi"/>
          <w:i/>
          <w:color w:val="404040" w:themeColor="text1" w:themeTint="BF"/>
          <w:sz w:val="16"/>
          <w:szCs w:val="16"/>
          <w:lang w:val="en-US"/>
        </w:rPr>
        <w:t xml:space="preserve">. </w:t>
      </w:r>
      <w:proofErr w:type="spellStart"/>
      <w:r w:rsidRPr="004F1A7B">
        <w:rPr>
          <w:rFonts w:asciiTheme="minorHAnsi" w:hAnsiTheme="minorHAnsi"/>
          <w:i/>
          <w:color w:val="404040" w:themeColor="text1" w:themeTint="BF"/>
          <w:sz w:val="16"/>
          <w:szCs w:val="16"/>
          <w:lang w:val="en-US"/>
        </w:rPr>
        <w:t>Rendición</w:t>
      </w:r>
      <w:proofErr w:type="spellEnd"/>
      <w:r w:rsidRPr="004F1A7B">
        <w:rPr>
          <w:rFonts w:asciiTheme="minorHAnsi" w:hAnsiTheme="minorHAnsi"/>
          <w:i/>
          <w:color w:val="404040" w:themeColor="text1" w:themeTint="BF"/>
          <w:sz w:val="16"/>
          <w:szCs w:val="16"/>
          <w:lang w:val="en-US"/>
        </w:rPr>
        <w:t xml:space="preserve"> de </w:t>
      </w:r>
      <w:proofErr w:type="spellStart"/>
      <w:r w:rsidRPr="004F1A7B">
        <w:rPr>
          <w:rFonts w:asciiTheme="minorHAnsi" w:hAnsiTheme="minorHAnsi"/>
          <w:i/>
          <w:color w:val="404040" w:themeColor="text1" w:themeTint="BF"/>
          <w:sz w:val="16"/>
          <w:szCs w:val="16"/>
          <w:lang w:val="en-US"/>
        </w:rPr>
        <w:t>Cuentas</w:t>
      </w:r>
      <w:proofErr w:type="spellEnd"/>
      <w:r w:rsidRPr="004F1A7B">
        <w:rPr>
          <w:rFonts w:asciiTheme="minorHAnsi" w:hAnsiTheme="minorHAnsi"/>
          <w:color w:val="404040" w:themeColor="text1" w:themeTint="BF"/>
          <w:sz w:val="16"/>
          <w:szCs w:val="16"/>
          <w:lang w:val="en-US"/>
        </w:rPr>
        <w:t xml:space="preserve">. October 11, 2014, p. 10. According to information received, </w:t>
      </w:r>
      <w:proofErr w:type="gramStart"/>
      <w:r w:rsidRPr="004F1A7B">
        <w:rPr>
          <w:rFonts w:asciiTheme="minorHAnsi" w:hAnsiTheme="minorHAnsi"/>
          <w:color w:val="404040" w:themeColor="text1" w:themeTint="BF"/>
          <w:sz w:val="16"/>
          <w:szCs w:val="16"/>
          <w:lang w:val="en-US"/>
        </w:rPr>
        <w:t>a number of</w:t>
      </w:r>
      <w:proofErr w:type="gramEnd"/>
      <w:r w:rsidRPr="004F1A7B">
        <w:rPr>
          <w:rFonts w:asciiTheme="minorHAnsi" w:hAnsiTheme="minorHAnsi"/>
          <w:color w:val="404040" w:themeColor="text1" w:themeTint="BF"/>
          <w:sz w:val="16"/>
          <w:szCs w:val="16"/>
          <w:lang w:val="en-US"/>
        </w:rPr>
        <w:t xml:space="preserve"> the judges who were suspended filed </w:t>
      </w:r>
      <w:r w:rsidRPr="004F1A7B">
        <w:rPr>
          <w:rFonts w:asciiTheme="minorHAnsi" w:hAnsiTheme="minorHAnsi"/>
          <w:i/>
          <w:color w:val="404040" w:themeColor="text1" w:themeTint="BF"/>
          <w:sz w:val="16"/>
          <w:szCs w:val="16"/>
          <w:lang w:val="en-US"/>
        </w:rPr>
        <w:t>amparo</w:t>
      </w:r>
      <w:r w:rsidRPr="004F1A7B">
        <w:rPr>
          <w:rFonts w:asciiTheme="minorHAnsi" w:hAnsiTheme="minorHAnsi"/>
          <w:color w:val="404040" w:themeColor="text1" w:themeTint="BF"/>
          <w:sz w:val="16"/>
          <w:szCs w:val="16"/>
          <w:lang w:val="en-US"/>
        </w:rPr>
        <w:t xml:space="preserve"> actions. The IACHR was informed of four judgments granting </w:t>
      </w:r>
      <w:r w:rsidRPr="004F1A7B">
        <w:rPr>
          <w:rFonts w:asciiTheme="minorHAnsi" w:hAnsiTheme="minorHAnsi"/>
          <w:i/>
          <w:color w:val="404040" w:themeColor="text1" w:themeTint="BF"/>
          <w:sz w:val="16"/>
          <w:szCs w:val="16"/>
          <w:lang w:val="en-US"/>
        </w:rPr>
        <w:t>amparo</w:t>
      </w:r>
      <w:r w:rsidRPr="004F1A7B">
        <w:rPr>
          <w:rFonts w:asciiTheme="minorHAnsi" w:hAnsiTheme="minorHAnsi"/>
          <w:color w:val="404040" w:themeColor="text1" w:themeTint="BF"/>
          <w:sz w:val="16"/>
          <w:szCs w:val="16"/>
          <w:lang w:val="en-US"/>
        </w:rPr>
        <w:t xml:space="preserve"> relief. </w:t>
      </w:r>
    </w:p>
  </w:footnote>
  <w:footnote w:id="98">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Situation of the Democratic Rule of Law in Honduras</w:t>
      </w:r>
      <w:r w:rsidRPr="004F1A7B">
        <w:rPr>
          <w:rFonts w:asciiTheme="minorHAnsi" w:hAnsiTheme="minorHAnsi"/>
          <w:color w:val="404040" w:themeColor="text1" w:themeTint="BF"/>
          <w:sz w:val="16"/>
          <w:szCs w:val="16"/>
          <w:lang w:val="en-US"/>
        </w:rPr>
        <w:t>, March 25, 2014.</w:t>
      </w:r>
    </w:p>
  </w:footnote>
  <w:footnote w:id="99">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s-CO"/>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AJD. </w:t>
      </w:r>
      <w:r w:rsidRPr="004F1A7B">
        <w:rPr>
          <w:rFonts w:asciiTheme="minorHAnsi" w:hAnsiTheme="minorHAnsi"/>
          <w:i/>
          <w:color w:val="404040" w:themeColor="text1" w:themeTint="BF"/>
          <w:sz w:val="16"/>
          <w:szCs w:val="16"/>
          <w:lang w:val="es-ES"/>
        </w:rPr>
        <w:t>Actualización de Información sobre Seguridad y Justicia en Honduras</w:t>
      </w:r>
      <w:r w:rsidRPr="004F1A7B">
        <w:rPr>
          <w:rFonts w:asciiTheme="minorHAnsi" w:hAnsiTheme="minorHAnsi"/>
          <w:color w:val="404040" w:themeColor="text1" w:themeTint="BF"/>
          <w:sz w:val="16"/>
          <w:szCs w:val="16"/>
          <w:lang w:val="es-ES"/>
        </w:rPr>
        <w:t>.</w:t>
      </w:r>
      <w:r w:rsidRPr="004F1A7B">
        <w:rPr>
          <w:rFonts w:asciiTheme="minorHAnsi" w:hAnsiTheme="minorHAnsi"/>
          <w:color w:val="404040" w:themeColor="text1" w:themeTint="BF"/>
          <w:sz w:val="16"/>
          <w:szCs w:val="16"/>
          <w:lang w:val="es-CO"/>
        </w:rPr>
        <w:t xml:space="preserve"> </w:t>
      </w:r>
      <w:proofErr w:type="spellStart"/>
      <w:r w:rsidRPr="004F1A7B">
        <w:rPr>
          <w:rFonts w:asciiTheme="minorHAnsi" w:hAnsiTheme="minorHAnsi"/>
          <w:color w:val="404040" w:themeColor="text1" w:themeTint="BF"/>
          <w:sz w:val="16"/>
          <w:szCs w:val="16"/>
          <w:lang w:val="es-CO"/>
        </w:rPr>
        <w:t>On-site</w:t>
      </w:r>
      <w:proofErr w:type="spellEnd"/>
      <w:r w:rsidRPr="004F1A7B">
        <w:rPr>
          <w:rFonts w:asciiTheme="minorHAnsi" w:hAnsiTheme="minorHAnsi"/>
          <w:color w:val="404040" w:themeColor="text1" w:themeTint="BF"/>
          <w:sz w:val="16"/>
          <w:szCs w:val="16"/>
          <w:lang w:val="es-CO"/>
        </w:rPr>
        <w:t xml:space="preserve"> </w:t>
      </w:r>
      <w:proofErr w:type="spellStart"/>
      <w:r w:rsidRPr="004F1A7B">
        <w:rPr>
          <w:rFonts w:asciiTheme="minorHAnsi" w:hAnsiTheme="minorHAnsi"/>
          <w:color w:val="404040" w:themeColor="text1" w:themeTint="BF"/>
          <w:sz w:val="16"/>
          <w:szCs w:val="16"/>
          <w:lang w:val="es-CO"/>
        </w:rPr>
        <w:t>Visit</w:t>
      </w:r>
      <w:proofErr w:type="spellEnd"/>
      <w:r w:rsidRPr="004F1A7B">
        <w:rPr>
          <w:rFonts w:asciiTheme="minorHAnsi" w:hAnsiTheme="minorHAnsi"/>
          <w:color w:val="404040" w:themeColor="text1" w:themeTint="BF"/>
          <w:sz w:val="16"/>
          <w:szCs w:val="16"/>
          <w:lang w:val="es-CO"/>
        </w:rPr>
        <w:t xml:space="preserve"> </w:t>
      </w:r>
      <w:proofErr w:type="spellStart"/>
      <w:r w:rsidRPr="004F1A7B">
        <w:rPr>
          <w:rFonts w:asciiTheme="minorHAnsi" w:hAnsiTheme="minorHAnsi"/>
          <w:color w:val="404040" w:themeColor="text1" w:themeTint="BF"/>
          <w:sz w:val="16"/>
          <w:szCs w:val="16"/>
          <w:lang w:val="es-CO"/>
        </w:rPr>
        <w:t>to</w:t>
      </w:r>
      <w:proofErr w:type="spellEnd"/>
      <w:r w:rsidRPr="004F1A7B">
        <w:rPr>
          <w:rFonts w:asciiTheme="minorHAnsi" w:hAnsiTheme="minorHAnsi"/>
          <w:color w:val="404040" w:themeColor="text1" w:themeTint="BF"/>
          <w:sz w:val="16"/>
          <w:szCs w:val="16"/>
          <w:lang w:val="es-CO"/>
        </w:rPr>
        <w:t xml:space="preserve"> Honduras, San Pedro Sula, </w:t>
      </w:r>
      <w:proofErr w:type="spellStart"/>
      <w:r w:rsidRPr="004F1A7B">
        <w:rPr>
          <w:rFonts w:asciiTheme="minorHAnsi" w:hAnsiTheme="minorHAnsi"/>
          <w:color w:val="404040" w:themeColor="text1" w:themeTint="BF"/>
          <w:sz w:val="16"/>
          <w:szCs w:val="16"/>
          <w:lang w:val="es-CO"/>
        </w:rPr>
        <w:t>December</w:t>
      </w:r>
      <w:proofErr w:type="spellEnd"/>
      <w:r w:rsidRPr="004F1A7B">
        <w:rPr>
          <w:rFonts w:asciiTheme="minorHAnsi" w:hAnsiTheme="minorHAnsi"/>
          <w:color w:val="404040" w:themeColor="text1" w:themeTint="BF"/>
          <w:sz w:val="16"/>
          <w:szCs w:val="16"/>
          <w:lang w:val="es-CO"/>
        </w:rPr>
        <w:t xml:space="preserve"> 3, 2014.</w:t>
      </w:r>
    </w:p>
  </w:footnote>
  <w:footnote w:id="100">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El Heraldo. </w:t>
      </w:r>
      <w:hyperlink r:id="rId56" w:history="1">
        <w:r w:rsidRPr="004F1A7B">
          <w:rPr>
            <w:rStyle w:val="Hipervnculo"/>
            <w:rFonts w:asciiTheme="minorHAnsi" w:hAnsiTheme="minorHAnsi"/>
            <w:i/>
            <w:color w:val="404040" w:themeColor="text1" w:themeTint="BF"/>
            <w:sz w:val="16"/>
            <w:szCs w:val="16"/>
            <w:u w:color="A6A6A6" w:themeColor="background1" w:themeShade="A6"/>
            <w:lang w:val="es-CO"/>
          </w:rPr>
          <w:t>Más de 100 suspendidos ha dejado depuración judicial de Honduras</w:t>
        </w:r>
      </w:hyperlink>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n-US"/>
        </w:rPr>
        <w:t>October 14, 2014.</w:t>
      </w:r>
    </w:p>
  </w:footnote>
  <w:footnote w:id="101">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General Secretariat of the Council of the Judiciary and the Judicial Career Service. Circular No. 5. Document No. 216-SCJYCJ-2013. Available at: </w:t>
      </w:r>
      <w:hyperlink r:id="rId57" w:history="1">
        <w:r w:rsidRPr="004F1A7B">
          <w:rPr>
            <w:rStyle w:val="Hipervnculo"/>
            <w:rFonts w:asciiTheme="minorHAnsi" w:hAnsiTheme="minorHAnsi"/>
            <w:color w:val="404040" w:themeColor="text1" w:themeTint="BF"/>
            <w:sz w:val="16"/>
            <w:szCs w:val="16"/>
            <w:u w:color="A6A6A6" w:themeColor="background1" w:themeShade="A6"/>
            <w:lang w:val="en-US"/>
          </w:rPr>
          <w:t>http://www.poderjudicial.gob.hn/transparencia/regulacion/Decretos–Ci–rcularesAcuerdosPoderJudicial/Documents/Circulares%20Diciembre%20de%202013.pdf</w:t>
        </w:r>
      </w:hyperlink>
    </w:p>
  </w:footnote>
  <w:footnote w:id="102">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AJD. </w:t>
      </w:r>
      <w:r w:rsidRPr="004F1A7B">
        <w:rPr>
          <w:rFonts w:asciiTheme="minorHAnsi" w:hAnsiTheme="minorHAnsi"/>
          <w:i/>
          <w:color w:val="404040" w:themeColor="text1" w:themeTint="BF"/>
          <w:sz w:val="16"/>
          <w:szCs w:val="16"/>
          <w:lang w:val="es-ES"/>
        </w:rPr>
        <w:t>Actualización de Información sobre Seguridad y Justicia en Honduras</w:t>
      </w:r>
      <w:r w:rsidRPr="004F1A7B">
        <w:rPr>
          <w:rFonts w:asciiTheme="minorHAnsi" w:hAnsiTheme="minorHAnsi"/>
          <w:color w:val="404040" w:themeColor="text1" w:themeTint="BF"/>
          <w:sz w:val="16"/>
          <w:szCs w:val="16"/>
          <w:lang w:val="es-ES"/>
        </w:rPr>
        <w:t>.</w:t>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n-US"/>
        </w:rPr>
        <w:t>On-site Visit to Honduras, San Pedro Sula, December 3, 2014.</w:t>
      </w:r>
    </w:p>
  </w:footnote>
  <w:footnote w:id="103">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Decree No. 291-2013. Amendments to the Law on the Council of the Judiciary and the Judicial Career Service, February 19, 2014. See Article 3. Available at: </w:t>
      </w:r>
      <w:hyperlink r:id="rId58" w:history="1">
        <w:r w:rsidRPr="004F1A7B">
          <w:rPr>
            <w:rStyle w:val="Hipervnculo"/>
            <w:rFonts w:asciiTheme="minorHAnsi" w:hAnsiTheme="minorHAnsi"/>
            <w:color w:val="404040" w:themeColor="text1" w:themeTint="BF"/>
            <w:sz w:val="16"/>
            <w:szCs w:val="16"/>
            <w:u w:color="A6A6A6" w:themeColor="background1" w:themeShade="A6"/>
            <w:lang w:val="en-US"/>
          </w:rPr>
          <w:t>http://www.poderjudicial.gob.hn/transparencia/–re–gulacion/Documents/Decreto%20291-2013%20Reforma%20a%20la%20Ley%20del%20Consejo%20de%–20l–a%20Judicatura%20y%20la%20Carrera%20Judicial%20(4,2mb).pdf</w:t>
        </w:r>
      </w:hyperlink>
      <w:r w:rsidRPr="004F1A7B">
        <w:rPr>
          <w:rFonts w:asciiTheme="minorHAnsi" w:hAnsiTheme="minorHAnsi"/>
          <w:color w:val="404040" w:themeColor="text1" w:themeTint="BF"/>
          <w:sz w:val="16"/>
          <w:szCs w:val="16"/>
          <w:lang w:val="en-US"/>
        </w:rPr>
        <w:t xml:space="preserve">. </w:t>
      </w:r>
    </w:p>
  </w:footnote>
  <w:footnote w:id="104">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AJD. </w:t>
      </w:r>
      <w:r w:rsidRPr="004F1A7B">
        <w:rPr>
          <w:rFonts w:asciiTheme="minorHAnsi" w:hAnsiTheme="minorHAnsi"/>
          <w:i/>
          <w:color w:val="404040" w:themeColor="text1" w:themeTint="BF"/>
          <w:sz w:val="16"/>
          <w:szCs w:val="16"/>
          <w:lang w:val="es-ES"/>
        </w:rPr>
        <w:t>Actualización de Información sobre Seguridad y Justicia en Honduras</w:t>
      </w:r>
      <w:r w:rsidRPr="004F1A7B">
        <w:rPr>
          <w:rFonts w:asciiTheme="minorHAnsi" w:hAnsiTheme="minorHAnsi"/>
          <w:color w:val="404040" w:themeColor="text1" w:themeTint="BF"/>
          <w:sz w:val="16"/>
          <w:szCs w:val="16"/>
          <w:lang w:val="es-CO"/>
        </w:rPr>
        <w:t xml:space="preserve">. </w:t>
      </w:r>
      <w:proofErr w:type="spellStart"/>
      <w:r w:rsidRPr="005D04F5">
        <w:rPr>
          <w:rFonts w:asciiTheme="minorHAnsi" w:hAnsiTheme="minorHAnsi"/>
          <w:color w:val="404040" w:themeColor="text1" w:themeTint="BF"/>
          <w:sz w:val="16"/>
          <w:szCs w:val="16"/>
          <w:lang w:val="es-419"/>
        </w:rPr>
        <w:t>On-site</w:t>
      </w:r>
      <w:proofErr w:type="spellEnd"/>
      <w:r w:rsidRPr="005D04F5">
        <w:rPr>
          <w:rFonts w:asciiTheme="minorHAnsi" w:hAnsiTheme="minorHAnsi"/>
          <w:color w:val="404040" w:themeColor="text1" w:themeTint="BF"/>
          <w:sz w:val="16"/>
          <w:szCs w:val="16"/>
          <w:lang w:val="es-419"/>
        </w:rPr>
        <w:t xml:space="preserve"> </w:t>
      </w:r>
      <w:proofErr w:type="spellStart"/>
      <w:r w:rsidRPr="005D04F5">
        <w:rPr>
          <w:rFonts w:asciiTheme="minorHAnsi" w:hAnsiTheme="minorHAnsi"/>
          <w:color w:val="404040" w:themeColor="text1" w:themeTint="BF"/>
          <w:sz w:val="16"/>
          <w:szCs w:val="16"/>
          <w:lang w:val="es-419"/>
        </w:rPr>
        <w:t>Visit</w:t>
      </w:r>
      <w:proofErr w:type="spellEnd"/>
      <w:r w:rsidRPr="005D04F5">
        <w:rPr>
          <w:rFonts w:asciiTheme="minorHAnsi" w:hAnsiTheme="minorHAnsi"/>
          <w:color w:val="404040" w:themeColor="text1" w:themeTint="BF"/>
          <w:sz w:val="16"/>
          <w:szCs w:val="16"/>
          <w:lang w:val="es-419"/>
        </w:rPr>
        <w:t xml:space="preserve"> </w:t>
      </w:r>
      <w:proofErr w:type="spellStart"/>
      <w:r w:rsidRPr="005D04F5">
        <w:rPr>
          <w:rFonts w:asciiTheme="minorHAnsi" w:hAnsiTheme="minorHAnsi"/>
          <w:color w:val="404040" w:themeColor="text1" w:themeTint="BF"/>
          <w:sz w:val="16"/>
          <w:szCs w:val="16"/>
          <w:lang w:val="es-419"/>
        </w:rPr>
        <w:t>to</w:t>
      </w:r>
      <w:proofErr w:type="spellEnd"/>
      <w:r w:rsidRPr="005D04F5">
        <w:rPr>
          <w:rFonts w:asciiTheme="minorHAnsi" w:hAnsiTheme="minorHAnsi"/>
          <w:color w:val="404040" w:themeColor="text1" w:themeTint="BF"/>
          <w:sz w:val="16"/>
          <w:szCs w:val="16"/>
          <w:lang w:val="es-419"/>
        </w:rPr>
        <w:t xml:space="preserve"> Honduras, San Pedro Sula, </w:t>
      </w:r>
      <w:proofErr w:type="spellStart"/>
      <w:r w:rsidRPr="005D04F5">
        <w:rPr>
          <w:rFonts w:asciiTheme="minorHAnsi" w:hAnsiTheme="minorHAnsi"/>
          <w:color w:val="404040" w:themeColor="text1" w:themeTint="BF"/>
          <w:sz w:val="16"/>
          <w:szCs w:val="16"/>
          <w:lang w:val="es-419"/>
        </w:rPr>
        <w:t>December</w:t>
      </w:r>
      <w:proofErr w:type="spellEnd"/>
      <w:r w:rsidRPr="005D04F5">
        <w:rPr>
          <w:rFonts w:asciiTheme="minorHAnsi" w:hAnsiTheme="minorHAnsi"/>
          <w:color w:val="404040" w:themeColor="text1" w:themeTint="BF"/>
          <w:sz w:val="16"/>
          <w:szCs w:val="16"/>
          <w:lang w:val="es-419"/>
        </w:rPr>
        <w:t xml:space="preserve"> 3, 2014; AJD, CEJIL. </w:t>
      </w:r>
      <w:r w:rsidRPr="004F1A7B">
        <w:rPr>
          <w:rFonts w:asciiTheme="minorHAnsi" w:hAnsiTheme="minorHAnsi"/>
          <w:i/>
          <w:color w:val="404040" w:themeColor="text1" w:themeTint="BF"/>
          <w:sz w:val="16"/>
          <w:szCs w:val="16"/>
          <w:lang w:val="es-ES"/>
        </w:rPr>
        <w:t>Aplicación de pruebas de polígrafo a operadores y operadoras de justicia en Honduras</w:t>
      </w:r>
      <w:r w:rsidRPr="004F1A7B">
        <w:rPr>
          <w:rFonts w:asciiTheme="minorHAnsi" w:hAnsiTheme="minorHAnsi"/>
          <w:color w:val="404040" w:themeColor="text1" w:themeTint="BF"/>
          <w:sz w:val="16"/>
          <w:szCs w:val="16"/>
          <w:lang w:val="es-ES"/>
        </w:rPr>
        <w:t xml:space="preserve">, April 22, 2015. </w:t>
      </w:r>
      <w:r w:rsidRPr="004F1A7B">
        <w:rPr>
          <w:rFonts w:asciiTheme="minorHAnsi" w:hAnsiTheme="minorHAnsi"/>
          <w:color w:val="404040" w:themeColor="text1" w:themeTint="BF"/>
          <w:sz w:val="16"/>
          <w:szCs w:val="16"/>
          <w:lang w:val="en-US"/>
        </w:rPr>
        <w:t xml:space="preserve">According to civil society organizations, despite the </w:t>
      </w:r>
      <w:r w:rsidRPr="004F1A7B">
        <w:rPr>
          <w:rFonts w:asciiTheme="minorHAnsi" w:hAnsiTheme="minorHAnsi"/>
          <w:i/>
          <w:color w:val="404040" w:themeColor="text1" w:themeTint="BF"/>
          <w:sz w:val="16"/>
          <w:szCs w:val="16"/>
          <w:lang w:val="en-US"/>
        </w:rPr>
        <w:t>amparo</w:t>
      </w:r>
      <w:r w:rsidRPr="004F1A7B">
        <w:rPr>
          <w:rFonts w:asciiTheme="minorHAnsi" w:hAnsiTheme="minorHAnsi"/>
          <w:color w:val="404040" w:themeColor="text1" w:themeTint="BF"/>
          <w:sz w:val="16"/>
          <w:szCs w:val="16"/>
          <w:lang w:val="en-US"/>
        </w:rPr>
        <w:t xml:space="preserve"> actions filed, members of the National Council of the Judiciary and the Judicial Career Service submitted to trust tests to “set an example.” </w:t>
      </w:r>
    </w:p>
  </w:footnote>
  <w:footnote w:id="105">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Supreme Court, Constitutional Chamber. AA 236-2014. Judgment of December 9, 2014.</w:t>
      </w:r>
    </w:p>
  </w:footnote>
  <w:footnote w:id="106">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Regulations to the Law on the Council of the Judiciary and the Judicial Career Service. September 2, 2014. Published in La </w:t>
      </w:r>
      <w:proofErr w:type="spellStart"/>
      <w:r w:rsidRPr="004F1A7B">
        <w:rPr>
          <w:rFonts w:asciiTheme="minorHAnsi" w:hAnsiTheme="minorHAnsi"/>
          <w:color w:val="404040" w:themeColor="text1" w:themeTint="BF"/>
          <w:sz w:val="16"/>
          <w:szCs w:val="16"/>
          <w:lang w:val="en-US"/>
        </w:rPr>
        <w:t>Gaceta</w:t>
      </w:r>
      <w:proofErr w:type="spellEnd"/>
      <w:r w:rsidRPr="004F1A7B">
        <w:rPr>
          <w:rFonts w:asciiTheme="minorHAnsi" w:hAnsiTheme="minorHAnsi"/>
          <w:color w:val="404040" w:themeColor="text1" w:themeTint="BF"/>
          <w:sz w:val="16"/>
          <w:szCs w:val="16"/>
          <w:lang w:val="en-US"/>
        </w:rPr>
        <w:t xml:space="preserve"> on September 17, 2014. Article 79. Available at: </w:t>
      </w:r>
      <w:hyperlink r:id="rId59" w:history="1">
        <w:r w:rsidRPr="004F1A7B">
          <w:rPr>
            <w:rStyle w:val="Hipervnculo"/>
            <w:rFonts w:asciiTheme="minorHAnsi" w:hAnsiTheme="minorHAnsi"/>
            <w:color w:val="404040" w:themeColor="text1" w:themeTint="BF"/>
            <w:sz w:val="16"/>
            <w:szCs w:val="16"/>
            <w:u w:color="A6A6A6" w:themeColor="background1" w:themeShade="A6"/>
            <w:lang w:val="en-US"/>
          </w:rPr>
          <w:t>http://www.poderjudicial.gob.hn/–CEDIJ/Leyes/Documents/Acuerdo%20N.5%202014%20Reglamento%20de%20la%20Ley%20del%20Consejo%20de%20la%20Judicatura%20(8.70%20MB).pdf</w:t>
        </w:r>
      </w:hyperlink>
      <w:r w:rsidRPr="004F1A7B">
        <w:rPr>
          <w:rFonts w:asciiTheme="minorHAnsi" w:hAnsiTheme="minorHAnsi"/>
          <w:color w:val="404040" w:themeColor="text1" w:themeTint="BF"/>
          <w:sz w:val="16"/>
          <w:szCs w:val="16"/>
          <w:lang w:val="en-US"/>
        </w:rPr>
        <w:t xml:space="preserve">. </w:t>
      </w:r>
    </w:p>
  </w:footnote>
  <w:footnote w:id="107">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Regulations to the Law on the Council of the Judiciary and the Judicial Career Service. September 2, 2014. Published in La </w:t>
      </w:r>
      <w:proofErr w:type="spellStart"/>
      <w:r w:rsidRPr="004F1A7B">
        <w:rPr>
          <w:rFonts w:asciiTheme="minorHAnsi" w:hAnsiTheme="minorHAnsi"/>
          <w:color w:val="404040" w:themeColor="text1" w:themeTint="BF"/>
          <w:sz w:val="16"/>
          <w:szCs w:val="16"/>
          <w:lang w:val="en-US"/>
        </w:rPr>
        <w:t>Gaceta</w:t>
      </w:r>
      <w:proofErr w:type="spellEnd"/>
      <w:r w:rsidRPr="004F1A7B">
        <w:rPr>
          <w:rFonts w:asciiTheme="minorHAnsi" w:hAnsiTheme="minorHAnsi"/>
          <w:color w:val="404040" w:themeColor="text1" w:themeTint="BF"/>
          <w:sz w:val="16"/>
          <w:szCs w:val="16"/>
          <w:lang w:val="en-US"/>
        </w:rPr>
        <w:t xml:space="preserve"> on September 17, 2014. Article 81. Available at: </w:t>
      </w:r>
      <w:hyperlink r:id="rId60" w:history="1">
        <w:r w:rsidRPr="004F1A7B">
          <w:rPr>
            <w:rStyle w:val="Hipervnculo"/>
            <w:rFonts w:asciiTheme="minorHAnsi" w:hAnsiTheme="minorHAnsi"/>
            <w:color w:val="404040" w:themeColor="text1" w:themeTint="BF"/>
            <w:sz w:val="16"/>
            <w:szCs w:val="16"/>
            <w:u w:color="A6A6A6" w:themeColor="background1" w:themeShade="A6"/>
            <w:lang w:val="en-US"/>
          </w:rPr>
          <w:t>http://www.poderjudicial.gob.hn/–CEDIJ/Leyes/Documents/Acuerdo%20N.5%202014%20Reglamento%20de%20la%20Ley%20del%20Consejo%20de%20la%20Judicatura%20(8.70%20MB).pdf</w:t>
        </w:r>
      </w:hyperlink>
      <w:r w:rsidRPr="004F1A7B">
        <w:rPr>
          <w:rFonts w:asciiTheme="minorHAnsi" w:hAnsiTheme="minorHAnsi"/>
          <w:color w:val="404040" w:themeColor="text1" w:themeTint="BF"/>
          <w:sz w:val="16"/>
          <w:szCs w:val="16"/>
          <w:lang w:val="en-US"/>
        </w:rPr>
        <w:t>.</w:t>
      </w:r>
    </w:p>
  </w:footnote>
  <w:footnote w:id="108">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Regulations to the Law on the Council of the Judiciary and the Judicial Career Service. September 2, 2014. Published in La </w:t>
      </w:r>
      <w:proofErr w:type="spellStart"/>
      <w:r w:rsidRPr="004F1A7B">
        <w:rPr>
          <w:rFonts w:asciiTheme="minorHAnsi" w:hAnsiTheme="minorHAnsi"/>
          <w:color w:val="404040" w:themeColor="text1" w:themeTint="BF"/>
          <w:sz w:val="16"/>
          <w:szCs w:val="16"/>
          <w:lang w:val="en-US"/>
        </w:rPr>
        <w:t>Gaceta</w:t>
      </w:r>
      <w:proofErr w:type="spellEnd"/>
      <w:r w:rsidRPr="004F1A7B">
        <w:rPr>
          <w:rFonts w:asciiTheme="minorHAnsi" w:hAnsiTheme="minorHAnsi"/>
          <w:color w:val="404040" w:themeColor="text1" w:themeTint="BF"/>
          <w:sz w:val="16"/>
          <w:szCs w:val="16"/>
          <w:lang w:val="en-US"/>
        </w:rPr>
        <w:t xml:space="preserve"> on September 17, 2014. Article 81. Available at: </w:t>
      </w:r>
      <w:hyperlink r:id="rId61" w:history="1">
        <w:r w:rsidRPr="004F1A7B">
          <w:rPr>
            <w:rStyle w:val="Hipervnculo"/>
            <w:rFonts w:asciiTheme="minorHAnsi" w:hAnsiTheme="minorHAnsi"/>
            <w:color w:val="404040" w:themeColor="text1" w:themeTint="BF"/>
            <w:sz w:val="16"/>
            <w:szCs w:val="16"/>
            <w:u w:color="A6A6A6" w:themeColor="background1" w:themeShade="A6"/>
            <w:lang w:val="en-US"/>
          </w:rPr>
          <w:t>http://www.poderjudicial.gob.hn/–CEDIJ/Leyes/Documents/Acuerdo%20N.5%202014%20Reglamento%20de%20la%20Ley%20del%20Consejo%20de%20la%20Judicatura%20(8.70%20MB).pdf</w:t>
        </w:r>
      </w:hyperlink>
      <w:r w:rsidRPr="004F1A7B">
        <w:rPr>
          <w:rFonts w:asciiTheme="minorHAnsi" w:hAnsiTheme="minorHAnsi"/>
          <w:color w:val="404040" w:themeColor="text1" w:themeTint="BF"/>
          <w:sz w:val="16"/>
          <w:szCs w:val="16"/>
          <w:lang w:val="en-US"/>
        </w:rPr>
        <w:t>.</w:t>
      </w:r>
    </w:p>
  </w:footnote>
  <w:footnote w:id="109">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s-CO"/>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AJD, CEJIL. </w:t>
      </w:r>
      <w:r w:rsidRPr="004F1A7B">
        <w:rPr>
          <w:rFonts w:asciiTheme="minorHAnsi" w:hAnsiTheme="minorHAnsi"/>
          <w:i/>
          <w:color w:val="404040" w:themeColor="text1" w:themeTint="BF"/>
          <w:sz w:val="16"/>
          <w:szCs w:val="16"/>
          <w:lang w:val="es-ES"/>
        </w:rPr>
        <w:t>Aplicación de pruebas de polígrafo a operadores y operadoras de justicia en Honduras</w:t>
      </w:r>
      <w:r w:rsidRPr="004F1A7B">
        <w:rPr>
          <w:rFonts w:asciiTheme="minorHAnsi" w:hAnsiTheme="minorHAnsi"/>
          <w:color w:val="404040" w:themeColor="text1" w:themeTint="BF"/>
          <w:sz w:val="16"/>
          <w:szCs w:val="16"/>
          <w:lang w:val="es-ES"/>
        </w:rPr>
        <w:t>, April 22, 2015.</w:t>
      </w:r>
    </w:p>
  </w:footnote>
  <w:footnote w:id="110">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This provision </w:t>
      </w:r>
      <w:proofErr w:type="gramStart"/>
      <w:r w:rsidRPr="004F1A7B">
        <w:rPr>
          <w:rFonts w:asciiTheme="minorHAnsi" w:hAnsiTheme="minorHAnsi"/>
          <w:color w:val="404040" w:themeColor="text1" w:themeTint="BF"/>
          <w:sz w:val="16"/>
          <w:szCs w:val="16"/>
          <w:lang w:val="en-US"/>
        </w:rPr>
        <w:t>is in compliance with</w:t>
      </w:r>
      <w:proofErr w:type="gramEnd"/>
      <w:r w:rsidRPr="004F1A7B">
        <w:rPr>
          <w:rFonts w:asciiTheme="minorHAnsi" w:hAnsiTheme="minorHAnsi"/>
          <w:color w:val="404040" w:themeColor="text1" w:themeTint="BF"/>
          <w:sz w:val="16"/>
          <w:szCs w:val="16"/>
          <w:lang w:val="en-US"/>
        </w:rPr>
        <w:t xml:space="preserve"> the General Law of Superintendence for the Application of Trust Assessment Tests, a supplemental law that applies to the tests administered to judicial employees. Regulations to the Law on the Council of the Judiciary and the Judicial Career Service. September 2, 2014. Published in La </w:t>
      </w:r>
      <w:proofErr w:type="spellStart"/>
      <w:r w:rsidRPr="004F1A7B">
        <w:rPr>
          <w:rFonts w:asciiTheme="minorHAnsi" w:hAnsiTheme="minorHAnsi"/>
          <w:color w:val="404040" w:themeColor="text1" w:themeTint="BF"/>
          <w:sz w:val="16"/>
          <w:szCs w:val="16"/>
          <w:lang w:val="en-US"/>
        </w:rPr>
        <w:t>Gaceta</w:t>
      </w:r>
      <w:proofErr w:type="spellEnd"/>
      <w:r w:rsidRPr="004F1A7B">
        <w:rPr>
          <w:rFonts w:asciiTheme="minorHAnsi" w:hAnsiTheme="minorHAnsi"/>
          <w:color w:val="404040" w:themeColor="text1" w:themeTint="BF"/>
          <w:sz w:val="16"/>
          <w:szCs w:val="16"/>
          <w:lang w:val="en-US"/>
        </w:rPr>
        <w:t xml:space="preserve"> on September 17, 2014. Article 80. Available at: </w:t>
      </w:r>
      <w:hyperlink r:id="rId62" w:history="1">
        <w:r w:rsidRPr="004F1A7B">
          <w:rPr>
            <w:rStyle w:val="Hipervnculo"/>
            <w:rFonts w:asciiTheme="minorHAnsi" w:hAnsiTheme="minorHAnsi"/>
            <w:color w:val="404040" w:themeColor="text1" w:themeTint="BF"/>
            <w:sz w:val="16"/>
            <w:szCs w:val="16"/>
            <w:u w:color="A6A6A6" w:themeColor="background1" w:themeShade="A6"/>
            <w:lang w:val="en-US"/>
          </w:rPr>
          <w:t>http://www.poderjudicial.gob.hn/–CEDIJ/Leyes/Documents/Acuerdo%20N.5%202014%20Reglamento%20de%20la%20Ley%20del%20Consejo%20de%20la%20Judicatura%20(8.70%20MB).pdf</w:t>
        </w:r>
      </w:hyperlink>
      <w:r w:rsidRPr="004F1A7B">
        <w:rPr>
          <w:rFonts w:asciiTheme="minorHAnsi" w:hAnsiTheme="minorHAnsi"/>
          <w:color w:val="404040" w:themeColor="text1" w:themeTint="BF"/>
          <w:sz w:val="16"/>
          <w:szCs w:val="16"/>
          <w:lang w:val="en-US"/>
        </w:rPr>
        <w:t xml:space="preserve">. </w:t>
      </w:r>
    </w:p>
  </w:footnote>
  <w:footnote w:id="111">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According to information received, on March 9, 2015, the AJD filed an </w:t>
      </w:r>
      <w:r w:rsidRPr="004F1A7B">
        <w:rPr>
          <w:rFonts w:asciiTheme="minorHAnsi" w:hAnsiTheme="minorHAnsi"/>
          <w:i/>
          <w:color w:val="404040" w:themeColor="text1" w:themeTint="BF"/>
          <w:sz w:val="16"/>
          <w:szCs w:val="16"/>
          <w:lang w:val="en-US"/>
        </w:rPr>
        <w:t>amparo</w:t>
      </w:r>
      <w:r w:rsidRPr="004F1A7B">
        <w:rPr>
          <w:rFonts w:asciiTheme="minorHAnsi" w:hAnsiTheme="minorHAnsi"/>
          <w:color w:val="404040" w:themeColor="text1" w:themeTint="BF"/>
          <w:sz w:val="16"/>
          <w:szCs w:val="16"/>
          <w:lang w:val="en-US"/>
        </w:rPr>
        <w:t xml:space="preserve"> action challenging the decision to administer the polygraph test. The appeal was admitted but the challenged practice has reportedly not been suspended.  </w:t>
      </w:r>
    </w:p>
  </w:footnote>
  <w:footnote w:id="112">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r>
      <w:r w:rsidRPr="004F1A7B">
        <w:rPr>
          <w:rFonts w:asciiTheme="minorHAnsi" w:hAnsiTheme="minorHAnsi"/>
          <w:i/>
          <w:color w:val="404040" w:themeColor="text1" w:themeTint="BF"/>
          <w:sz w:val="16"/>
          <w:szCs w:val="16"/>
          <w:lang w:val="es-ES"/>
        </w:rPr>
        <w:t>Aplicación de pruebas de polígrafo a operadores y operadoras de justicia en Honduras</w:t>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n-US"/>
        </w:rPr>
        <w:t xml:space="preserve">Document presented to the by CEJIL and the </w:t>
      </w:r>
      <w:proofErr w:type="spellStart"/>
      <w:r w:rsidRPr="004F1A7B">
        <w:rPr>
          <w:rFonts w:asciiTheme="minorHAnsi" w:hAnsiTheme="minorHAnsi"/>
          <w:color w:val="404040" w:themeColor="text1" w:themeTint="BF"/>
          <w:sz w:val="16"/>
          <w:szCs w:val="16"/>
          <w:lang w:val="en-US"/>
        </w:rPr>
        <w:t>Asociación</w:t>
      </w:r>
      <w:proofErr w:type="spellEnd"/>
      <w:r w:rsidRPr="004F1A7B">
        <w:rPr>
          <w:rFonts w:asciiTheme="minorHAnsi" w:hAnsiTheme="minorHAnsi"/>
          <w:color w:val="404040" w:themeColor="text1" w:themeTint="BF"/>
          <w:sz w:val="16"/>
          <w:szCs w:val="16"/>
          <w:lang w:val="en-US"/>
        </w:rPr>
        <w:t xml:space="preserve"> de </w:t>
      </w:r>
      <w:proofErr w:type="spellStart"/>
      <w:r w:rsidRPr="004F1A7B">
        <w:rPr>
          <w:rFonts w:asciiTheme="minorHAnsi" w:hAnsiTheme="minorHAnsi"/>
          <w:color w:val="404040" w:themeColor="text1" w:themeTint="BF"/>
          <w:sz w:val="16"/>
          <w:szCs w:val="16"/>
          <w:lang w:val="en-US"/>
        </w:rPr>
        <w:t>Jueces</w:t>
      </w:r>
      <w:proofErr w:type="spellEnd"/>
      <w:r w:rsidRPr="004F1A7B">
        <w:rPr>
          <w:rFonts w:asciiTheme="minorHAnsi" w:hAnsiTheme="minorHAnsi"/>
          <w:color w:val="404040" w:themeColor="text1" w:themeTint="BF"/>
          <w:sz w:val="16"/>
          <w:szCs w:val="16"/>
          <w:lang w:val="en-US"/>
        </w:rPr>
        <w:t xml:space="preserve"> por la </w:t>
      </w:r>
      <w:proofErr w:type="spellStart"/>
      <w:r w:rsidRPr="004F1A7B">
        <w:rPr>
          <w:rFonts w:asciiTheme="minorHAnsi" w:hAnsiTheme="minorHAnsi"/>
          <w:color w:val="404040" w:themeColor="text1" w:themeTint="BF"/>
          <w:sz w:val="16"/>
          <w:szCs w:val="16"/>
          <w:lang w:val="en-US"/>
        </w:rPr>
        <w:t>Democracia</w:t>
      </w:r>
      <w:proofErr w:type="spellEnd"/>
      <w:r w:rsidRPr="004F1A7B">
        <w:rPr>
          <w:rFonts w:asciiTheme="minorHAnsi" w:hAnsiTheme="minorHAnsi"/>
          <w:color w:val="404040" w:themeColor="text1" w:themeTint="BF"/>
          <w:sz w:val="16"/>
          <w:szCs w:val="16"/>
          <w:lang w:val="en-US"/>
        </w:rPr>
        <w:t xml:space="preserve"> on April 22, 2015.  </w:t>
      </w:r>
    </w:p>
  </w:footnote>
  <w:footnote w:id="113">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Article 317 of the Constitution of Honduras.</w:t>
      </w:r>
    </w:p>
  </w:footnote>
  <w:footnote w:id="114">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This decree, dated April 25, 2013, entered into force on May 17, 2013. </w:t>
      </w:r>
    </w:p>
  </w:footnote>
  <w:footnote w:id="115">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The IACHR was informed that Decree 56-2013 had been challenged on grounds of unconstitutionality through an appeal filed by the AJD on May 27, 2014. As of the date of this report, this appeal had not been resolved.</w:t>
      </w:r>
    </w:p>
  </w:footnote>
  <w:footnote w:id="116">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IACHR</w:t>
      </w:r>
      <w:r w:rsidRPr="004F1A7B">
        <w:rPr>
          <w:rFonts w:asciiTheme="minorHAnsi" w:hAnsiTheme="minorHAnsi"/>
          <w:i/>
          <w:color w:val="404040" w:themeColor="text1" w:themeTint="BF"/>
          <w:sz w:val="16"/>
          <w:szCs w:val="16"/>
          <w:lang w:val="en-US"/>
        </w:rPr>
        <w:t xml:space="preserve">. </w:t>
      </w:r>
      <w:hyperlink r:id="rId63" w:history="1">
        <w:r w:rsidRPr="004F1A7B">
          <w:rPr>
            <w:rStyle w:val="Hipervnculo"/>
            <w:rFonts w:asciiTheme="minorHAnsi" w:hAnsiTheme="minorHAnsi"/>
            <w:i/>
            <w:color w:val="404040" w:themeColor="text1" w:themeTint="BF"/>
            <w:sz w:val="16"/>
            <w:szCs w:val="16"/>
            <w:u w:color="A6A6A6" w:themeColor="background1" w:themeShade="A6"/>
            <w:lang w:val="en-US"/>
          </w:rPr>
          <w:t xml:space="preserve">Second Report </w:t>
        </w:r>
        <w:proofErr w:type="gramStart"/>
        <w:r w:rsidRPr="004F1A7B">
          <w:rPr>
            <w:rStyle w:val="Hipervnculo"/>
            <w:rFonts w:asciiTheme="minorHAnsi" w:hAnsiTheme="minorHAnsi"/>
            <w:i/>
            <w:color w:val="404040" w:themeColor="text1" w:themeTint="BF"/>
            <w:sz w:val="16"/>
            <w:szCs w:val="16"/>
            <w:u w:color="A6A6A6" w:themeColor="background1" w:themeShade="A6"/>
            <w:lang w:val="en-US"/>
          </w:rPr>
          <w:t>on the Situation of</w:t>
        </w:r>
        <w:proofErr w:type="gramEnd"/>
        <w:r w:rsidRPr="004F1A7B">
          <w:rPr>
            <w:rStyle w:val="Hipervnculo"/>
            <w:rFonts w:asciiTheme="minorHAnsi" w:hAnsiTheme="minorHAnsi"/>
            <w:i/>
            <w:color w:val="404040" w:themeColor="text1" w:themeTint="BF"/>
            <w:sz w:val="16"/>
            <w:szCs w:val="16"/>
            <w:u w:color="A6A6A6" w:themeColor="background1" w:themeShade="A6"/>
            <w:lang w:val="en-US"/>
          </w:rPr>
          <w:t xml:space="preserve"> Human Rights Defenders in the Americas</w:t>
        </w:r>
      </w:hyperlink>
      <w:r w:rsidRPr="004F1A7B">
        <w:rPr>
          <w:rFonts w:asciiTheme="minorHAnsi" w:hAnsiTheme="minorHAnsi"/>
          <w:color w:val="404040" w:themeColor="text1" w:themeTint="BF"/>
          <w:sz w:val="16"/>
          <w:szCs w:val="16"/>
          <w:lang w:val="en-US"/>
        </w:rPr>
        <w:t>. OEA/</w:t>
      </w:r>
      <w:proofErr w:type="spellStart"/>
      <w:r w:rsidRPr="004F1A7B">
        <w:rPr>
          <w:rFonts w:asciiTheme="minorHAnsi" w:hAnsiTheme="minorHAnsi"/>
          <w:color w:val="404040" w:themeColor="text1" w:themeTint="BF"/>
          <w:sz w:val="16"/>
          <w:szCs w:val="16"/>
          <w:lang w:val="en-US"/>
        </w:rPr>
        <w:t>Ser.L</w:t>
      </w:r>
      <w:proofErr w:type="spellEnd"/>
      <w:r w:rsidRPr="004F1A7B">
        <w:rPr>
          <w:rFonts w:asciiTheme="minorHAnsi" w:hAnsiTheme="minorHAnsi"/>
          <w:color w:val="404040" w:themeColor="text1" w:themeTint="BF"/>
          <w:sz w:val="16"/>
          <w:szCs w:val="16"/>
          <w:lang w:val="en-US"/>
        </w:rPr>
        <w:t xml:space="preserve">/V/II. Doc. 66, December 31, 2011, para. 376. Along these same lines, see the Principles and Guidelines on the Right to a Fair Trial and Legal Assistance in Africa, adopted as part of the report of activities of the African Commission at the Second Summit and Meeting of Heads of State of the African Union, held in Maputo July 4-12, 2003, Principle A (4)(n). The Commission calls to mind that even in cases in which there may be an inexcusable judicial error, the disciplinary authority has an irrevocable duty to provide grounds for the seriousness of the conduct and the proportionality of the penalty, </w:t>
      </w:r>
      <w:proofErr w:type="gramStart"/>
      <w:r w:rsidRPr="004F1A7B">
        <w:rPr>
          <w:rFonts w:asciiTheme="minorHAnsi" w:hAnsiTheme="minorHAnsi"/>
          <w:color w:val="404040" w:themeColor="text1" w:themeTint="BF"/>
          <w:sz w:val="16"/>
          <w:szCs w:val="16"/>
          <w:lang w:val="en-US"/>
        </w:rPr>
        <w:t>so as to</w:t>
      </w:r>
      <w:proofErr w:type="gramEnd"/>
      <w:r w:rsidRPr="004F1A7B">
        <w:rPr>
          <w:rFonts w:asciiTheme="minorHAnsi" w:hAnsiTheme="minorHAnsi"/>
          <w:color w:val="404040" w:themeColor="text1" w:themeTint="BF"/>
          <w:sz w:val="16"/>
          <w:szCs w:val="16"/>
          <w:lang w:val="en-US"/>
        </w:rPr>
        <w:t xml:space="preserve"> ensure that a serious sanction can be imposed only when the competent authority has properly established that the justice operator’s suitability for the job has been compromised. See Inter-American Court. </w:t>
      </w:r>
      <w:r w:rsidRPr="004F1A7B">
        <w:rPr>
          <w:rFonts w:asciiTheme="minorHAnsi" w:hAnsiTheme="minorHAnsi"/>
          <w:i/>
          <w:color w:val="404040" w:themeColor="text1" w:themeTint="BF"/>
          <w:sz w:val="16"/>
          <w:szCs w:val="16"/>
          <w:lang w:val="en-US"/>
        </w:rPr>
        <w:t xml:space="preserve">Case of </w:t>
      </w:r>
      <w:proofErr w:type="spellStart"/>
      <w:r w:rsidRPr="004F1A7B">
        <w:rPr>
          <w:rFonts w:asciiTheme="minorHAnsi" w:hAnsiTheme="minorHAnsi"/>
          <w:i/>
          <w:color w:val="404040" w:themeColor="text1" w:themeTint="BF"/>
          <w:sz w:val="16"/>
          <w:szCs w:val="16"/>
          <w:lang w:val="en-US"/>
        </w:rPr>
        <w:t>Apitz</w:t>
      </w:r>
      <w:proofErr w:type="spellEnd"/>
      <w:r w:rsidRPr="004F1A7B">
        <w:rPr>
          <w:rFonts w:asciiTheme="minorHAnsi" w:hAnsiTheme="minorHAnsi"/>
          <w:i/>
          <w:color w:val="404040" w:themeColor="text1" w:themeTint="BF"/>
          <w:sz w:val="16"/>
          <w:szCs w:val="16"/>
          <w:lang w:val="en-US"/>
        </w:rPr>
        <w:t xml:space="preserve"> </w:t>
      </w:r>
      <w:proofErr w:type="spellStart"/>
      <w:r w:rsidRPr="004F1A7B">
        <w:rPr>
          <w:rFonts w:asciiTheme="minorHAnsi" w:hAnsiTheme="minorHAnsi"/>
          <w:i/>
          <w:color w:val="404040" w:themeColor="text1" w:themeTint="BF"/>
          <w:sz w:val="16"/>
          <w:szCs w:val="16"/>
          <w:lang w:val="en-US"/>
        </w:rPr>
        <w:t>Barbera</w:t>
      </w:r>
      <w:proofErr w:type="spellEnd"/>
      <w:r w:rsidRPr="004F1A7B">
        <w:rPr>
          <w:rFonts w:asciiTheme="minorHAnsi" w:hAnsiTheme="minorHAnsi"/>
          <w:i/>
          <w:color w:val="404040" w:themeColor="text1" w:themeTint="BF"/>
          <w:sz w:val="16"/>
          <w:szCs w:val="16"/>
          <w:lang w:val="en-US"/>
        </w:rPr>
        <w:t xml:space="preserve"> et al. (“First Court of Administrative Disputes”) v. Venezuela</w:t>
      </w:r>
      <w:r w:rsidRPr="004F1A7B">
        <w:rPr>
          <w:rFonts w:asciiTheme="minorHAnsi" w:hAnsiTheme="minorHAnsi"/>
          <w:color w:val="404040" w:themeColor="text1" w:themeTint="BF"/>
          <w:sz w:val="16"/>
          <w:szCs w:val="16"/>
          <w:lang w:val="en-US"/>
        </w:rPr>
        <w:t xml:space="preserve">. Preliminary Objection, Merits, Reparations and Costs. Judgment of August 5, 2008. Series C No. 182, para. 90. </w:t>
      </w:r>
    </w:p>
  </w:footnote>
  <w:footnote w:id="117">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Article 24 of Decree 110-2014. The State, in its response to the draft of this report, indicated that paragraph 23 of Article 24 of Decree 110-2014 does not deny a prosecutor the right to file an appeal of the Attorney General’s decisions in cases involving internal movement or rotation. Communication from the State of Honduras, Note No. SG/064/MHOEA/2015, Observations of the State of Honduras to the 2015 Draft Report on Honduras of the Inter-American Commission on Human Rights, December 14, 2015.</w:t>
      </w:r>
    </w:p>
  </w:footnote>
  <w:footnote w:id="118">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Government of Honduras. Information provided by the State of Honduras during the on-site visit. </w:t>
      </w:r>
      <w:r w:rsidRPr="004F1A7B">
        <w:rPr>
          <w:rFonts w:asciiTheme="minorHAnsi" w:hAnsiTheme="minorHAnsi"/>
          <w:i/>
          <w:color w:val="404040" w:themeColor="text1" w:themeTint="BF"/>
          <w:sz w:val="16"/>
          <w:szCs w:val="16"/>
          <w:lang w:val="en-US"/>
        </w:rPr>
        <w:t xml:space="preserve">Informe Final de la </w:t>
      </w:r>
      <w:proofErr w:type="spellStart"/>
      <w:r w:rsidRPr="004F1A7B">
        <w:rPr>
          <w:rFonts w:asciiTheme="minorHAnsi" w:hAnsiTheme="minorHAnsi"/>
          <w:i/>
          <w:color w:val="404040" w:themeColor="text1" w:themeTint="BF"/>
          <w:sz w:val="16"/>
          <w:szCs w:val="16"/>
          <w:lang w:val="en-US"/>
        </w:rPr>
        <w:t>Visita</w:t>
      </w:r>
      <w:proofErr w:type="spellEnd"/>
      <w:r w:rsidRPr="004F1A7B">
        <w:rPr>
          <w:rFonts w:asciiTheme="minorHAnsi" w:hAnsiTheme="minorHAnsi"/>
          <w:color w:val="404040" w:themeColor="text1" w:themeTint="BF"/>
          <w:sz w:val="16"/>
          <w:szCs w:val="16"/>
          <w:lang w:val="en-US"/>
        </w:rPr>
        <w:t>, December 4, 2015.</w:t>
      </w:r>
    </w:p>
  </w:footnote>
  <w:footnote w:id="119">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Access to Justice and Social Inclusion: The Road towards Strengthening Democracy in Bolivia.</w:t>
      </w:r>
      <w:r w:rsidRPr="004F1A7B">
        <w:rPr>
          <w:rFonts w:asciiTheme="minorHAnsi" w:hAnsiTheme="minorHAnsi"/>
          <w:color w:val="404040" w:themeColor="text1" w:themeTint="BF"/>
          <w:sz w:val="16"/>
          <w:szCs w:val="16"/>
          <w:lang w:val="en-US"/>
        </w:rPr>
        <w:t xml:space="preserve"> Available at: </w:t>
      </w:r>
      <w:hyperlink r:id="rId64" w:history="1">
        <w:r w:rsidRPr="004F1A7B">
          <w:rPr>
            <w:rStyle w:val="Hipervnculo"/>
            <w:rFonts w:asciiTheme="minorHAnsi" w:hAnsiTheme="minorHAnsi"/>
            <w:color w:val="404040" w:themeColor="text1" w:themeTint="BF"/>
            <w:sz w:val="16"/>
            <w:szCs w:val="16"/>
            <w:u w:color="A6A6A6" w:themeColor="background1" w:themeShade="A6"/>
            <w:lang w:val="en-US"/>
          </w:rPr>
          <w:t>http://cidh.org/pdf%20files/BOLIVIA.07.ENG.pdf</w:t>
        </w:r>
      </w:hyperlink>
      <w:r w:rsidRPr="004F1A7B">
        <w:rPr>
          <w:rFonts w:asciiTheme="minorHAnsi" w:hAnsiTheme="minorHAnsi"/>
          <w:color w:val="404040" w:themeColor="text1" w:themeTint="BF"/>
          <w:sz w:val="16"/>
          <w:szCs w:val="16"/>
          <w:lang w:val="en-US"/>
        </w:rPr>
        <w:t xml:space="preserve">. </w:t>
      </w:r>
    </w:p>
  </w:footnote>
  <w:footnote w:id="120">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Guarantees for the independence of justice operators: Towards strengthening access to justice and the rule of law in the Americas</w:t>
      </w:r>
      <w:r w:rsidRPr="004F1A7B">
        <w:rPr>
          <w:rFonts w:asciiTheme="minorHAnsi" w:hAnsiTheme="minorHAnsi"/>
          <w:color w:val="404040" w:themeColor="text1" w:themeTint="BF"/>
          <w:sz w:val="16"/>
          <w:szCs w:val="16"/>
          <w:lang w:val="en-US"/>
        </w:rPr>
        <w:t>. OEA/</w:t>
      </w:r>
      <w:proofErr w:type="spellStart"/>
      <w:r w:rsidRPr="004F1A7B">
        <w:rPr>
          <w:rFonts w:asciiTheme="minorHAnsi" w:hAnsiTheme="minorHAnsi"/>
          <w:color w:val="404040" w:themeColor="text1" w:themeTint="BF"/>
          <w:sz w:val="16"/>
          <w:szCs w:val="16"/>
          <w:lang w:val="en-US"/>
        </w:rPr>
        <w:t>Ser.L</w:t>
      </w:r>
      <w:proofErr w:type="spellEnd"/>
      <w:r w:rsidRPr="004F1A7B">
        <w:rPr>
          <w:rFonts w:asciiTheme="minorHAnsi" w:hAnsiTheme="minorHAnsi"/>
          <w:color w:val="404040" w:themeColor="text1" w:themeTint="BF"/>
          <w:sz w:val="16"/>
          <w:szCs w:val="16"/>
          <w:lang w:val="en-US"/>
        </w:rPr>
        <w:t xml:space="preserve">/V/II. Doc. 44, December 5, 2014, para. 36. Available at: </w:t>
      </w:r>
      <w:hyperlink r:id="rId65" w:history="1">
        <w:proofErr w:type="gramStart"/>
        <w:r w:rsidRPr="004F1A7B">
          <w:rPr>
            <w:rStyle w:val="Hipervnculo"/>
            <w:rFonts w:asciiTheme="minorHAnsi" w:hAnsiTheme="minorHAnsi"/>
            <w:color w:val="404040" w:themeColor="text1" w:themeTint="BF"/>
            <w:sz w:val="16"/>
            <w:szCs w:val="16"/>
            <w:u w:color="A6A6A6" w:themeColor="background1" w:themeShade="A6"/>
            <w:lang w:val="en-US"/>
          </w:rPr>
          <w:t>http:–</w:t>
        </w:r>
        <w:proofErr w:type="gramEnd"/>
        <w:r w:rsidRPr="004F1A7B">
          <w:rPr>
            <w:rStyle w:val="Hipervnculo"/>
            <w:rFonts w:asciiTheme="minorHAnsi" w:hAnsiTheme="minorHAnsi"/>
            <w:color w:val="404040" w:themeColor="text1" w:themeTint="BF"/>
            <w:sz w:val="16"/>
            <w:szCs w:val="16"/>
            <w:u w:color="A6A6A6" w:themeColor="background1" w:themeShade="A6"/>
            <w:lang w:val="en-US"/>
          </w:rPr>
          <w:t>//www.oas.org/es/cidh/defensores/docs/pdf/Justice-Operators-2013.pdf</w:t>
        </w:r>
      </w:hyperlink>
      <w:r w:rsidRPr="004F1A7B">
        <w:rPr>
          <w:rFonts w:asciiTheme="minorHAnsi" w:hAnsiTheme="minorHAnsi"/>
          <w:color w:val="404040" w:themeColor="text1" w:themeTint="BF"/>
          <w:sz w:val="16"/>
          <w:szCs w:val="16"/>
          <w:lang w:val="en-US"/>
        </w:rPr>
        <w:t>.</w:t>
      </w:r>
    </w:p>
  </w:footnote>
  <w:footnote w:id="121">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Guarantees for the independence of justice operators: Towards strengthening access to justice and the rule of law in the Americas</w:t>
      </w:r>
      <w:r w:rsidRPr="004F1A7B">
        <w:rPr>
          <w:rFonts w:asciiTheme="minorHAnsi" w:hAnsiTheme="minorHAnsi"/>
          <w:color w:val="404040" w:themeColor="text1" w:themeTint="BF"/>
          <w:sz w:val="16"/>
          <w:szCs w:val="16"/>
          <w:lang w:val="en-US"/>
        </w:rPr>
        <w:t>. OEA/</w:t>
      </w:r>
      <w:proofErr w:type="spellStart"/>
      <w:r w:rsidRPr="004F1A7B">
        <w:rPr>
          <w:rFonts w:asciiTheme="minorHAnsi" w:hAnsiTheme="minorHAnsi"/>
          <w:color w:val="404040" w:themeColor="text1" w:themeTint="BF"/>
          <w:sz w:val="16"/>
          <w:szCs w:val="16"/>
          <w:lang w:val="en-US"/>
        </w:rPr>
        <w:t>Ser.L</w:t>
      </w:r>
      <w:proofErr w:type="spellEnd"/>
      <w:r w:rsidRPr="004F1A7B">
        <w:rPr>
          <w:rFonts w:asciiTheme="minorHAnsi" w:hAnsiTheme="minorHAnsi"/>
          <w:color w:val="404040" w:themeColor="text1" w:themeTint="BF"/>
          <w:sz w:val="16"/>
          <w:szCs w:val="16"/>
          <w:lang w:val="en-US"/>
        </w:rPr>
        <w:t xml:space="preserve">/V/II. Doc. 44, December 5, 2014, para. 44. Available at: </w:t>
      </w:r>
      <w:hyperlink r:id="rId66" w:history="1">
        <w:r w:rsidRPr="004F1A7B">
          <w:rPr>
            <w:rStyle w:val="Hipervnculo"/>
            <w:rFonts w:asciiTheme="minorHAnsi" w:hAnsiTheme="minorHAnsi"/>
            <w:color w:val="404040" w:themeColor="text1" w:themeTint="BF"/>
            <w:sz w:val="16"/>
            <w:szCs w:val="16"/>
            <w:u w:color="A6A6A6" w:themeColor="background1" w:themeShade="A6"/>
            <w:lang w:val="en-US"/>
          </w:rPr>
          <w:t>http://–www.oas.org/es/cidh/defensores/docs/pdf/Justice-Operators-2013.pdf</w:t>
        </w:r>
      </w:hyperlink>
      <w:r w:rsidRPr="004F1A7B">
        <w:rPr>
          <w:rFonts w:asciiTheme="minorHAnsi" w:hAnsiTheme="minorHAnsi"/>
          <w:color w:val="404040" w:themeColor="text1" w:themeTint="BF"/>
          <w:sz w:val="16"/>
          <w:szCs w:val="16"/>
          <w:lang w:val="en-US"/>
        </w:rPr>
        <w:t>.</w:t>
      </w:r>
    </w:p>
  </w:footnote>
  <w:footnote w:id="122">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r w:rsidRPr="004F1A7B">
        <w:rPr>
          <w:rStyle w:val="Refdenotaalpi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Guarantees for the independence of justice operators: Towards strengthening access to justice and the rule of law in the Americas</w:t>
      </w:r>
      <w:r w:rsidRPr="004F1A7B">
        <w:rPr>
          <w:rFonts w:asciiTheme="minorHAnsi" w:hAnsiTheme="minorHAnsi"/>
          <w:color w:val="404040" w:themeColor="text1" w:themeTint="BF"/>
          <w:sz w:val="16"/>
          <w:szCs w:val="16"/>
          <w:lang w:val="en-US"/>
        </w:rPr>
        <w:t>. OEA/</w:t>
      </w:r>
      <w:proofErr w:type="spellStart"/>
      <w:r w:rsidRPr="004F1A7B">
        <w:rPr>
          <w:rFonts w:asciiTheme="minorHAnsi" w:hAnsiTheme="minorHAnsi"/>
          <w:color w:val="404040" w:themeColor="text1" w:themeTint="BF"/>
          <w:sz w:val="16"/>
          <w:szCs w:val="16"/>
          <w:lang w:val="en-US"/>
        </w:rPr>
        <w:t>Ser.L</w:t>
      </w:r>
      <w:proofErr w:type="spellEnd"/>
      <w:r w:rsidRPr="004F1A7B">
        <w:rPr>
          <w:rFonts w:asciiTheme="minorHAnsi" w:hAnsiTheme="minorHAnsi"/>
          <w:color w:val="404040" w:themeColor="text1" w:themeTint="BF"/>
          <w:sz w:val="16"/>
          <w:szCs w:val="16"/>
          <w:lang w:val="en-US"/>
        </w:rPr>
        <w:t xml:space="preserve">/V/II. Doc. 44, December 5, 2014, para. 56 and ff. Available at: </w:t>
      </w:r>
      <w:hyperlink r:id="rId67" w:history="1">
        <w:r w:rsidRPr="004F1A7B">
          <w:rPr>
            <w:rStyle w:val="Hipervnculo"/>
            <w:rFonts w:asciiTheme="minorHAnsi" w:hAnsiTheme="minorHAnsi"/>
            <w:color w:val="404040" w:themeColor="text1" w:themeTint="BF"/>
            <w:sz w:val="16"/>
            <w:szCs w:val="16"/>
            <w:u w:color="A6A6A6" w:themeColor="background1" w:themeShade="A6"/>
            <w:lang w:val="en-US"/>
          </w:rPr>
          <w:t>http://www.oas.org/es/cidh/defensores/docs/pdf/Justice-Operators-2013.pdf</w:t>
        </w:r>
      </w:hyperlink>
      <w:r w:rsidRPr="004F1A7B">
        <w:rPr>
          <w:rFonts w:asciiTheme="minorHAnsi" w:hAnsiTheme="minorHAnsi"/>
          <w:color w:val="404040" w:themeColor="text1" w:themeTint="BF"/>
          <w:sz w:val="16"/>
          <w:szCs w:val="16"/>
          <w:lang w:val="en-US"/>
        </w:rPr>
        <w:t>.</w:t>
      </w:r>
    </w:p>
    <w:p w:rsidR="0086515C" w:rsidRPr="004F1A7B" w:rsidRDefault="0086515C" w:rsidP="00955D50">
      <w:pPr>
        <w:pStyle w:val="Textonotapie"/>
        <w:spacing w:after="40"/>
        <w:ind w:left="540" w:hanging="540"/>
        <w:jc w:val="both"/>
        <w:rPr>
          <w:rFonts w:asciiTheme="minorHAnsi" w:hAnsiTheme="minorHAnsi"/>
          <w:color w:val="404040" w:themeColor="text1" w:themeTint="BF"/>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Default="0086515C">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420783"/>
      <w:docPartObj>
        <w:docPartGallery w:val="Page Numbers (Top of Page)"/>
        <w:docPartUnique/>
      </w:docPartObj>
    </w:sdtPr>
    <w:sdtEndPr>
      <w:rPr>
        <w:rFonts w:asciiTheme="minorHAnsi" w:hAnsiTheme="minorHAnsi"/>
        <w:color w:val="595959" w:themeColor="text1" w:themeTint="A6"/>
        <w:sz w:val="14"/>
        <w:szCs w:val="14"/>
      </w:rPr>
    </w:sdtEndPr>
    <w:sdtContent>
      <w:p w:rsidR="0086515C" w:rsidRPr="00600220" w:rsidRDefault="0086515C" w:rsidP="00DC704F">
        <w:pPr>
          <w:pStyle w:val="Encabezado"/>
          <w:spacing w:after="420"/>
          <w:rPr>
            <w:rFonts w:asciiTheme="minorHAnsi" w:hAnsiTheme="minorHAnsi"/>
            <w:color w:val="595959" w:themeColor="text1" w:themeTint="A6"/>
            <w:sz w:val="14"/>
            <w:szCs w:val="14"/>
            <w:lang w:val="en-US"/>
          </w:rPr>
        </w:pPr>
        <w:r w:rsidRPr="00DC704F">
          <w:rPr>
            <w:rFonts w:asciiTheme="minorHAnsi" w:hAnsiTheme="minorHAnsi"/>
            <w:color w:val="595959" w:themeColor="text1" w:themeTint="A6"/>
            <w:sz w:val="14"/>
            <w:szCs w:val="14"/>
          </w:rPr>
          <w:fldChar w:fldCharType="begin"/>
        </w:r>
        <w:r w:rsidRPr="00600220">
          <w:rPr>
            <w:rFonts w:asciiTheme="minorHAnsi" w:hAnsiTheme="minorHAnsi"/>
            <w:color w:val="595959" w:themeColor="text1" w:themeTint="A6"/>
            <w:sz w:val="14"/>
            <w:szCs w:val="14"/>
            <w:lang w:val="en-US"/>
          </w:rPr>
          <w:instrText>PAGE   \* MERGEFORMAT</w:instrText>
        </w:r>
        <w:r w:rsidRPr="00DC704F">
          <w:rPr>
            <w:rFonts w:asciiTheme="minorHAnsi" w:hAnsiTheme="minorHAnsi"/>
            <w:color w:val="595959" w:themeColor="text1" w:themeTint="A6"/>
            <w:sz w:val="14"/>
            <w:szCs w:val="14"/>
          </w:rPr>
          <w:fldChar w:fldCharType="separate"/>
        </w:r>
        <w:r>
          <w:rPr>
            <w:rFonts w:asciiTheme="minorHAnsi" w:hAnsiTheme="minorHAnsi"/>
            <w:noProof/>
            <w:color w:val="595959" w:themeColor="text1" w:themeTint="A6"/>
            <w:sz w:val="14"/>
            <w:szCs w:val="14"/>
            <w:lang w:val="en-US"/>
          </w:rPr>
          <w:t>164</w:t>
        </w:r>
        <w:r w:rsidRPr="00DC704F">
          <w:rPr>
            <w:rFonts w:asciiTheme="minorHAnsi" w:hAnsiTheme="minorHAnsi"/>
            <w:color w:val="595959" w:themeColor="text1" w:themeTint="A6"/>
            <w:sz w:val="14"/>
            <w:szCs w:val="14"/>
          </w:rPr>
          <w:fldChar w:fldCharType="end"/>
        </w:r>
        <w:r w:rsidRPr="00600220">
          <w:rPr>
            <w:rFonts w:asciiTheme="minorHAnsi" w:hAnsiTheme="minorHAnsi"/>
            <w:color w:val="595959" w:themeColor="text1" w:themeTint="A6"/>
            <w:sz w:val="14"/>
            <w:szCs w:val="14"/>
            <w:lang w:val="en-US"/>
          </w:rPr>
          <w:t xml:space="preserve"> </w:t>
        </w:r>
        <w:r w:rsidRPr="00600220">
          <w:rPr>
            <w:rFonts w:ascii="Calibri" w:hAnsi="Calibri"/>
            <w:color w:val="4A442A" w:themeColor="background2" w:themeShade="40"/>
            <w:sz w:val="14"/>
            <w:szCs w:val="14"/>
            <w:lang w:val="en-US"/>
          </w:rPr>
          <w:t>| Situation of Human Rights in Honduras</w: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Pr="003509EB" w:rsidRDefault="0086515C" w:rsidP="00320030">
    <w:pPr>
      <w:pStyle w:val="Encabezado"/>
      <w:spacing w:after="420"/>
      <w:jc w:val="right"/>
      <w:rPr>
        <w:rFonts w:ascii="Calibri" w:hAnsi="Calibri"/>
        <w:noProof/>
        <w:color w:val="4A442A"/>
        <w:sz w:val="14"/>
        <w:szCs w:val="14"/>
        <w:lang w:val="en-029"/>
      </w:rPr>
    </w:pPr>
    <w:r w:rsidRPr="003509EB">
      <w:rPr>
        <w:rFonts w:ascii="Calibri" w:hAnsi="Calibri"/>
        <w:color w:val="4A442A"/>
        <w:sz w:val="14"/>
        <w:szCs w:val="14"/>
        <w:lang w:val="en-029"/>
      </w:rPr>
      <w:t>C</w:t>
    </w:r>
    <w:r>
      <w:rPr>
        <w:rFonts w:ascii="Calibri" w:hAnsi="Calibri"/>
        <w:color w:val="4A442A"/>
        <w:sz w:val="14"/>
        <w:szCs w:val="14"/>
        <w:lang w:val="en-029"/>
      </w:rPr>
      <w:t>hapter 2</w:t>
    </w:r>
    <w:r w:rsidRPr="003509EB">
      <w:rPr>
        <w:rFonts w:ascii="Calibri" w:hAnsi="Calibri"/>
        <w:color w:val="4A442A"/>
        <w:sz w:val="14"/>
        <w:szCs w:val="14"/>
        <w:lang w:val="en-029"/>
      </w:rPr>
      <w:t xml:space="preserve"> </w:t>
    </w:r>
    <w:r>
      <w:rPr>
        <w:rFonts w:ascii="Calibri" w:hAnsi="Calibri"/>
        <w:color w:val="4A442A"/>
        <w:sz w:val="14"/>
        <w:szCs w:val="14"/>
        <w:lang w:val="en-029"/>
      </w:rPr>
      <w:t xml:space="preserve">Citizen Security </w:t>
    </w:r>
    <w:r w:rsidRPr="003509EB">
      <w:rPr>
        <w:rFonts w:ascii="Calibri" w:hAnsi="Calibri"/>
        <w:color w:val="4A442A"/>
        <w:sz w:val="14"/>
        <w:szCs w:val="14"/>
        <w:lang w:val="en-029"/>
      </w:rPr>
      <w:t xml:space="preserve">| </w:t>
    </w:r>
    <w:r w:rsidRPr="002A0750">
      <w:rPr>
        <w:rFonts w:ascii="Calibri" w:hAnsi="Calibri"/>
        <w:color w:val="4A442A"/>
        <w:sz w:val="14"/>
        <w:szCs w:val="14"/>
      </w:rPr>
      <w:fldChar w:fldCharType="begin"/>
    </w:r>
    <w:r w:rsidRPr="003509EB">
      <w:rPr>
        <w:rFonts w:ascii="Calibri" w:hAnsi="Calibri"/>
        <w:color w:val="4A442A"/>
        <w:sz w:val="14"/>
        <w:szCs w:val="14"/>
        <w:lang w:val="en-029"/>
      </w:rPr>
      <w:instrText xml:space="preserve"> PAGE   \* MERGEFORMAT </w:instrText>
    </w:r>
    <w:r w:rsidRPr="002A0750">
      <w:rPr>
        <w:rFonts w:ascii="Calibri" w:hAnsi="Calibri"/>
        <w:color w:val="4A442A"/>
        <w:sz w:val="14"/>
        <w:szCs w:val="14"/>
      </w:rPr>
      <w:fldChar w:fldCharType="separate"/>
    </w:r>
    <w:r>
      <w:rPr>
        <w:rFonts w:ascii="Calibri" w:hAnsi="Calibri"/>
        <w:noProof/>
        <w:color w:val="4A442A"/>
        <w:sz w:val="14"/>
        <w:szCs w:val="14"/>
        <w:lang w:val="en-029"/>
      </w:rPr>
      <w:t>89</w:t>
    </w:r>
    <w:r w:rsidRPr="002A0750">
      <w:rPr>
        <w:rFonts w:ascii="Calibri" w:hAnsi="Calibri"/>
        <w:noProof/>
        <w:color w:val="4A442A"/>
        <w:sz w:val="14"/>
        <w:szCs w:val="1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Pr="000666B4" w:rsidRDefault="0086515C" w:rsidP="000666B4">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Pr="00264813" w:rsidRDefault="0086515C" w:rsidP="00A36817">
    <w:pPr>
      <w:pStyle w:val="Encabezado"/>
      <w:spacing w:after="420"/>
      <w:jc w:val="right"/>
      <w:rPr>
        <w:rFonts w:ascii="Calibri" w:hAnsi="Calibri"/>
        <w:color w:val="4A442A" w:themeColor="background2" w:themeShade="40"/>
        <w:sz w:val="14"/>
        <w:szCs w:val="14"/>
        <w:lang w:val="en-US"/>
      </w:rPr>
    </w:pPr>
    <w:r w:rsidRPr="00264813">
      <w:rPr>
        <w:rFonts w:ascii="Calibri" w:hAnsi="Calibri"/>
        <w:color w:val="4A442A" w:themeColor="background2" w:themeShade="40"/>
        <w:sz w:val="14"/>
        <w:szCs w:val="14"/>
        <w:lang w:val="en-US"/>
      </w:rPr>
      <w:t>Chap</w:t>
    </w:r>
    <w:r>
      <w:rPr>
        <w:rFonts w:ascii="Calibri" w:hAnsi="Calibri"/>
        <w:color w:val="4A442A" w:themeColor="background2" w:themeShade="40"/>
        <w:sz w:val="14"/>
        <w:szCs w:val="14"/>
        <w:lang w:val="en-US"/>
      </w:rPr>
      <w:t>t</w:t>
    </w:r>
    <w:r w:rsidRPr="00264813">
      <w:rPr>
        <w:rFonts w:ascii="Calibri" w:hAnsi="Calibri"/>
        <w:color w:val="4A442A" w:themeColor="background2" w:themeShade="40"/>
        <w:sz w:val="14"/>
        <w:szCs w:val="14"/>
        <w:lang w:val="en-US"/>
      </w:rPr>
      <w:t xml:space="preserve">er 8 Conclusions and </w:t>
    </w:r>
    <w:r>
      <w:rPr>
        <w:rFonts w:ascii="Calibri" w:hAnsi="Calibri"/>
        <w:color w:val="4A442A" w:themeColor="background2" w:themeShade="40"/>
        <w:sz w:val="14"/>
        <w:szCs w:val="14"/>
        <w:lang w:val="en-US"/>
      </w:rPr>
      <w:t>R</w:t>
    </w:r>
    <w:r w:rsidRPr="00264813">
      <w:rPr>
        <w:rFonts w:ascii="Calibri" w:hAnsi="Calibri"/>
        <w:color w:val="4A442A" w:themeColor="background2" w:themeShade="40"/>
        <w:sz w:val="14"/>
        <w:szCs w:val="14"/>
        <w:lang w:val="en-US"/>
      </w:rPr>
      <w:t>ecommendations</w:t>
    </w:r>
    <w:r>
      <w:rPr>
        <w:rFonts w:ascii="Calibri" w:hAnsi="Calibri"/>
        <w:color w:val="4A442A" w:themeColor="background2" w:themeShade="40"/>
        <w:sz w:val="14"/>
        <w:szCs w:val="14"/>
        <w:lang w:val="en-US"/>
      </w:rPr>
      <w:t xml:space="preserve"> </w:t>
    </w:r>
    <w:r w:rsidRPr="00264813">
      <w:rPr>
        <w:rFonts w:ascii="Calibri" w:hAnsi="Calibri"/>
        <w:color w:val="4A442A" w:themeColor="background2" w:themeShade="40"/>
        <w:sz w:val="14"/>
        <w:szCs w:val="14"/>
        <w:lang w:val="en-US"/>
      </w:rPr>
      <w:t xml:space="preserve">| </w:t>
    </w:r>
    <w:r w:rsidRPr="00264813">
      <w:rPr>
        <w:rFonts w:ascii="Calibri" w:hAnsi="Calibri"/>
        <w:color w:val="4A442A" w:themeColor="background2" w:themeShade="40"/>
        <w:sz w:val="14"/>
        <w:szCs w:val="14"/>
        <w:lang w:val="en-US"/>
      </w:rPr>
      <w:fldChar w:fldCharType="begin"/>
    </w:r>
    <w:r w:rsidRPr="00264813">
      <w:rPr>
        <w:rFonts w:ascii="Calibri" w:hAnsi="Calibri"/>
        <w:color w:val="4A442A" w:themeColor="background2" w:themeShade="40"/>
        <w:sz w:val="14"/>
        <w:szCs w:val="14"/>
        <w:lang w:val="en-US"/>
      </w:rPr>
      <w:instrText xml:space="preserve"> PAGE   \* MERGEFORMAT </w:instrText>
    </w:r>
    <w:r w:rsidRPr="00264813">
      <w:rPr>
        <w:rFonts w:ascii="Calibri" w:hAnsi="Calibri"/>
        <w:color w:val="4A442A" w:themeColor="background2" w:themeShade="40"/>
        <w:sz w:val="14"/>
        <w:szCs w:val="14"/>
        <w:lang w:val="en-US"/>
      </w:rPr>
      <w:fldChar w:fldCharType="separate"/>
    </w:r>
    <w:r>
      <w:rPr>
        <w:rFonts w:ascii="Calibri" w:hAnsi="Calibri"/>
        <w:noProof/>
        <w:color w:val="4A442A" w:themeColor="background2" w:themeShade="40"/>
        <w:sz w:val="14"/>
        <w:szCs w:val="14"/>
        <w:lang w:val="en-US"/>
      </w:rPr>
      <w:t>229</w:t>
    </w:r>
    <w:r w:rsidRPr="00264813">
      <w:rPr>
        <w:rFonts w:ascii="Calibri" w:hAnsi="Calibri"/>
        <w:noProof/>
        <w:color w:val="4A442A" w:themeColor="background2" w:themeShade="40"/>
        <w:sz w:val="14"/>
        <w:szCs w:val="14"/>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Default="008651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Default="0086515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Pr="00073C65" w:rsidRDefault="0086515C" w:rsidP="001F2B9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Pr="002A0750" w:rsidRDefault="0086515C">
    <w:pPr>
      <w:pStyle w:val="Encabezado"/>
      <w:rPr>
        <w:rFonts w:ascii="Calibri" w:hAnsi="Calibri"/>
        <w:color w:val="4A442A"/>
        <w:sz w:val="14"/>
        <w:szCs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Pr="00CB7C09" w:rsidRDefault="0086515C" w:rsidP="00CB7C09">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817648"/>
      <w:docPartObj>
        <w:docPartGallery w:val="Page Numbers (Top of Page)"/>
        <w:docPartUnique/>
      </w:docPartObj>
    </w:sdtPr>
    <w:sdtEndPr>
      <w:rPr>
        <w:rFonts w:asciiTheme="minorHAnsi" w:hAnsiTheme="minorHAnsi"/>
        <w:color w:val="595959" w:themeColor="text1" w:themeTint="A6"/>
        <w:sz w:val="14"/>
        <w:szCs w:val="14"/>
      </w:rPr>
    </w:sdtEndPr>
    <w:sdtContent>
      <w:p w:rsidR="0086515C" w:rsidRPr="00600220" w:rsidRDefault="0086515C" w:rsidP="00DC704F">
        <w:pPr>
          <w:pStyle w:val="Encabezado"/>
          <w:spacing w:after="420"/>
          <w:rPr>
            <w:rFonts w:asciiTheme="minorHAnsi" w:hAnsiTheme="minorHAnsi"/>
            <w:color w:val="595959" w:themeColor="text1" w:themeTint="A6"/>
            <w:sz w:val="14"/>
            <w:szCs w:val="14"/>
            <w:lang w:val="en-US"/>
          </w:rPr>
        </w:pPr>
        <w:r w:rsidRPr="00DC704F">
          <w:rPr>
            <w:rFonts w:asciiTheme="minorHAnsi" w:hAnsiTheme="minorHAnsi"/>
            <w:color w:val="595959" w:themeColor="text1" w:themeTint="A6"/>
            <w:sz w:val="14"/>
            <w:szCs w:val="14"/>
          </w:rPr>
          <w:fldChar w:fldCharType="begin"/>
        </w:r>
        <w:r w:rsidRPr="00600220">
          <w:rPr>
            <w:rFonts w:asciiTheme="minorHAnsi" w:hAnsiTheme="minorHAnsi"/>
            <w:color w:val="595959" w:themeColor="text1" w:themeTint="A6"/>
            <w:sz w:val="14"/>
            <w:szCs w:val="14"/>
            <w:lang w:val="en-US"/>
          </w:rPr>
          <w:instrText>PAGE   \* MERGEFORMAT</w:instrText>
        </w:r>
        <w:r w:rsidRPr="00DC704F">
          <w:rPr>
            <w:rFonts w:asciiTheme="minorHAnsi" w:hAnsiTheme="minorHAnsi"/>
            <w:color w:val="595959" w:themeColor="text1" w:themeTint="A6"/>
            <w:sz w:val="14"/>
            <w:szCs w:val="14"/>
          </w:rPr>
          <w:fldChar w:fldCharType="separate"/>
        </w:r>
        <w:r>
          <w:rPr>
            <w:rFonts w:asciiTheme="minorHAnsi" w:hAnsiTheme="minorHAnsi"/>
            <w:noProof/>
            <w:color w:val="595959" w:themeColor="text1" w:themeTint="A6"/>
            <w:sz w:val="14"/>
            <w:szCs w:val="14"/>
            <w:lang w:val="en-US"/>
          </w:rPr>
          <w:t>22</w:t>
        </w:r>
        <w:r w:rsidRPr="00DC704F">
          <w:rPr>
            <w:rFonts w:asciiTheme="minorHAnsi" w:hAnsiTheme="minorHAnsi"/>
            <w:color w:val="595959" w:themeColor="text1" w:themeTint="A6"/>
            <w:sz w:val="14"/>
            <w:szCs w:val="14"/>
          </w:rPr>
          <w:fldChar w:fldCharType="end"/>
        </w:r>
        <w:r w:rsidRPr="00600220">
          <w:rPr>
            <w:rFonts w:asciiTheme="minorHAnsi" w:hAnsiTheme="minorHAnsi"/>
            <w:color w:val="595959" w:themeColor="text1" w:themeTint="A6"/>
            <w:sz w:val="14"/>
            <w:szCs w:val="14"/>
            <w:lang w:val="en-US"/>
          </w:rPr>
          <w:t xml:space="preserve"> </w:t>
        </w:r>
        <w:r w:rsidRPr="00600220">
          <w:rPr>
            <w:rFonts w:ascii="Calibri" w:hAnsi="Calibri"/>
            <w:color w:val="4A442A" w:themeColor="background2" w:themeShade="40"/>
            <w:sz w:val="14"/>
            <w:szCs w:val="14"/>
            <w:lang w:val="en-US"/>
          </w:rPr>
          <w:t>| Situation of Human Rights in Honduras</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Pr="00DC704F" w:rsidRDefault="0086515C" w:rsidP="00DC704F">
    <w:pPr>
      <w:pStyle w:val="Encabezado"/>
      <w:tabs>
        <w:tab w:val="clear" w:pos="4320"/>
        <w:tab w:val="clear" w:pos="8640"/>
        <w:tab w:val="left" w:pos="3360"/>
      </w:tabs>
      <w:spacing w:after="420"/>
      <w:jc w:val="right"/>
      <w:rPr>
        <w:rFonts w:asciiTheme="minorHAnsi" w:hAnsiTheme="minorHAnsi"/>
        <w:color w:val="595959" w:themeColor="text1" w:themeTint="A6"/>
        <w:sz w:val="14"/>
        <w:szCs w:val="14"/>
      </w:rPr>
    </w:pPr>
    <w:sdt>
      <w:sdtPr>
        <w:id w:val="1275368732"/>
        <w:docPartObj>
          <w:docPartGallery w:val="Page Numbers (Top of Page)"/>
          <w:docPartUnique/>
        </w:docPartObj>
      </w:sdtPr>
      <w:sdtEndPr>
        <w:rPr>
          <w:rFonts w:asciiTheme="minorHAnsi" w:hAnsiTheme="minorHAnsi"/>
          <w:color w:val="595959" w:themeColor="text1" w:themeTint="A6"/>
          <w:sz w:val="14"/>
          <w:szCs w:val="14"/>
        </w:rPr>
      </w:sdtEndPr>
      <w:sdtContent>
        <w:proofErr w:type="spellStart"/>
        <w:r>
          <w:rPr>
            <w:rFonts w:ascii="Calibri" w:hAnsi="Calibri"/>
            <w:color w:val="4A442A" w:themeColor="background2" w:themeShade="40"/>
            <w:sz w:val="14"/>
            <w:szCs w:val="14"/>
            <w:lang w:val="es-ES"/>
          </w:rPr>
          <w:t>Chapter</w:t>
        </w:r>
        <w:proofErr w:type="spellEnd"/>
        <w:r>
          <w:rPr>
            <w:rFonts w:ascii="Calibri" w:hAnsi="Calibri"/>
            <w:color w:val="4A442A" w:themeColor="background2" w:themeShade="40"/>
            <w:sz w:val="14"/>
            <w:szCs w:val="14"/>
            <w:lang w:val="es-ES"/>
          </w:rPr>
          <w:t xml:space="preserve"> 1 </w:t>
        </w:r>
        <w:proofErr w:type="spellStart"/>
        <w:r>
          <w:rPr>
            <w:rFonts w:ascii="Calibri" w:hAnsi="Calibri"/>
            <w:color w:val="4A442A" w:themeColor="background2" w:themeShade="40"/>
            <w:sz w:val="14"/>
            <w:szCs w:val="14"/>
            <w:lang w:val="es-ES"/>
          </w:rPr>
          <w:t>Introduction</w:t>
        </w:r>
        <w:proofErr w:type="spellEnd"/>
      </w:sdtContent>
    </w:sdt>
    <w:r>
      <w:rPr>
        <w:rFonts w:asciiTheme="minorHAnsi" w:hAnsiTheme="minorHAnsi"/>
        <w:color w:val="595959" w:themeColor="text1" w:themeTint="A6"/>
        <w:sz w:val="14"/>
        <w:szCs w:val="14"/>
      </w:rPr>
      <w:t xml:space="preserve"> |</w:t>
    </w:r>
    <w:r w:rsidRPr="00DC704F">
      <w:rPr>
        <w:rFonts w:asciiTheme="minorHAnsi" w:hAnsiTheme="minorHAnsi"/>
        <w:color w:val="595959" w:themeColor="text1" w:themeTint="A6"/>
        <w:sz w:val="14"/>
        <w:szCs w:val="14"/>
      </w:rPr>
      <w:t xml:space="preserve"> </w:t>
    </w:r>
    <w:r w:rsidRPr="00DC704F">
      <w:rPr>
        <w:rFonts w:asciiTheme="minorHAnsi" w:hAnsiTheme="minorHAnsi"/>
        <w:color w:val="595959" w:themeColor="text1" w:themeTint="A6"/>
        <w:sz w:val="14"/>
        <w:szCs w:val="14"/>
      </w:rPr>
      <w:fldChar w:fldCharType="begin"/>
    </w:r>
    <w:r w:rsidRPr="00DC704F">
      <w:rPr>
        <w:rFonts w:asciiTheme="minorHAnsi" w:hAnsiTheme="minorHAnsi"/>
        <w:color w:val="595959" w:themeColor="text1" w:themeTint="A6"/>
        <w:sz w:val="14"/>
        <w:szCs w:val="14"/>
      </w:rPr>
      <w:instrText>PAGE   \* MERGEFORMAT</w:instrText>
    </w:r>
    <w:r w:rsidRPr="00DC704F">
      <w:rPr>
        <w:rFonts w:asciiTheme="minorHAnsi" w:hAnsiTheme="minorHAnsi"/>
        <w:color w:val="595959" w:themeColor="text1" w:themeTint="A6"/>
        <w:sz w:val="14"/>
        <w:szCs w:val="14"/>
      </w:rPr>
      <w:fldChar w:fldCharType="separate"/>
    </w:r>
    <w:r w:rsidRPr="00AD70E8">
      <w:rPr>
        <w:rFonts w:asciiTheme="minorHAnsi" w:hAnsiTheme="minorHAnsi"/>
        <w:noProof/>
        <w:color w:val="595959" w:themeColor="text1" w:themeTint="A6"/>
        <w:sz w:val="14"/>
        <w:szCs w:val="14"/>
        <w:lang w:val="es-ES"/>
      </w:rPr>
      <w:t>21</w:t>
    </w:r>
    <w:r w:rsidRPr="00DC704F">
      <w:rPr>
        <w:rFonts w:asciiTheme="minorHAnsi" w:hAnsiTheme="minorHAnsi"/>
        <w:color w:val="595959" w:themeColor="text1" w:themeTint="A6"/>
        <w:sz w:val="14"/>
        <w:szCs w:val="1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15C" w:rsidRPr="00DC704F" w:rsidRDefault="0086515C" w:rsidP="00DC70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580"/>
    <w:multiLevelType w:val="hybridMultilevel"/>
    <w:tmpl w:val="F8AA473A"/>
    <w:lvl w:ilvl="0" w:tplc="31B44BF2">
      <w:start w:val="1"/>
      <w:numFmt w:val="bullet"/>
      <w:lvlText w:val=""/>
      <w:lvlJc w:val="left"/>
      <w:pPr>
        <w:ind w:left="1886" w:hanging="360"/>
      </w:pPr>
      <w:rPr>
        <w:rFonts w:ascii="Symbol" w:hAnsi="Symbol" w:hint="default"/>
      </w:rPr>
    </w:lvl>
    <w:lvl w:ilvl="1" w:tplc="2C0A0003" w:tentative="1">
      <w:start w:val="1"/>
      <w:numFmt w:val="bullet"/>
      <w:lvlText w:val="o"/>
      <w:lvlJc w:val="left"/>
      <w:pPr>
        <w:ind w:left="2606" w:hanging="360"/>
      </w:pPr>
      <w:rPr>
        <w:rFonts w:ascii="Courier New" w:hAnsi="Courier New" w:cs="Courier New" w:hint="default"/>
      </w:rPr>
    </w:lvl>
    <w:lvl w:ilvl="2" w:tplc="2C0A0005" w:tentative="1">
      <w:start w:val="1"/>
      <w:numFmt w:val="bullet"/>
      <w:lvlText w:val=""/>
      <w:lvlJc w:val="left"/>
      <w:pPr>
        <w:ind w:left="3326" w:hanging="360"/>
      </w:pPr>
      <w:rPr>
        <w:rFonts w:ascii="Wingdings" w:hAnsi="Wingdings" w:hint="default"/>
      </w:rPr>
    </w:lvl>
    <w:lvl w:ilvl="3" w:tplc="2C0A0001" w:tentative="1">
      <w:start w:val="1"/>
      <w:numFmt w:val="bullet"/>
      <w:lvlText w:val=""/>
      <w:lvlJc w:val="left"/>
      <w:pPr>
        <w:ind w:left="4046" w:hanging="360"/>
      </w:pPr>
      <w:rPr>
        <w:rFonts w:ascii="Symbol" w:hAnsi="Symbol" w:hint="default"/>
      </w:rPr>
    </w:lvl>
    <w:lvl w:ilvl="4" w:tplc="2C0A0003" w:tentative="1">
      <w:start w:val="1"/>
      <w:numFmt w:val="bullet"/>
      <w:lvlText w:val="o"/>
      <w:lvlJc w:val="left"/>
      <w:pPr>
        <w:ind w:left="4766" w:hanging="360"/>
      </w:pPr>
      <w:rPr>
        <w:rFonts w:ascii="Courier New" w:hAnsi="Courier New" w:cs="Courier New" w:hint="default"/>
      </w:rPr>
    </w:lvl>
    <w:lvl w:ilvl="5" w:tplc="2C0A0005" w:tentative="1">
      <w:start w:val="1"/>
      <w:numFmt w:val="bullet"/>
      <w:lvlText w:val=""/>
      <w:lvlJc w:val="left"/>
      <w:pPr>
        <w:ind w:left="5486" w:hanging="360"/>
      </w:pPr>
      <w:rPr>
        <w:rFonts w:ascii="Wingdings" w:hAnsi="Wingdings" w:hint="default"/>
      </w:rPr>
    </w:lvl>
    <w:lvl w:ilvl="6" w:tplc="2C0A0001" w:tentative="1">
      <w:start w:val="1"/>
      <w:numFmt w:val="bullet"/>
      <w:lvlText w:val=""/>
      <w:lvlJc w:val="left"/>
      <w:pPr>
        <w:ind w:left="6206" w:hanging="360"/>
      </w:pPr>
      <w:rPr>
        <w:rFonts w:ascii="Symbol" w:hAnsi="Symbol" w:hint="default"/>
      </w:rPr>
    </w:lvl>
    <w:lvl w:ilvl="7" w:tplc="2C0A0003" w:tentative="1">
      <w:start w:val="1"/>
      <w:numFmt w:val="bullet"/>
      <w:lvlText w:val="o"/>
      <w:lvlJc w:val="left"/>
      <w:pPr>
        <w:ind w:left="6926" w:hanging="360"/>
      </w:pPr>
      <w:rPr>
        <w:rFonts w:ascii="Courier New" w:hAnsi="Courier New" w:cs="Courier New" w:hint="default"/>
      </w:rPr>
    </w:lvl>
    <w:lvl w:ilvl="8" w:tplc="2C0A0005" w:tentative="1">
      <w:start w:val="1"/>
      <w:numFmt w:val="bullet"/>
      <w:lvlText w:val=""/>
      <w:lvlJc w:val="left"/>
      <w:pPr>
        <w:ind w:left="7646" w:hanging="360"/>
      </w:pPr>
      <w:rPr>
        <w:rFonts w:ascii="Wingdings" w:hAnsi="Wingdings" w:hint="default"/>
      </w:rPr>
    </w:lvl>
  </w:abstractNum>
  <w:abstractNum w:abstractNumId="1" w15:restartNumberingAfterBreak="0">
    <w:nsid w:val="07B83B53"/>
    <w:multiLevelType w:val="hybridMultilevel"/>
    <w:tmpl w:val="1D302DA0"/>
    <w:lvl w:ilvl="0" w:tplc="31B44BF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56C3263"/>
    <w:multiLevelType w:val="hybridMultilevel"/>
    <w:tmpl w:val="12A24820"/>
    <w:lvl w:ilvl="0" w:tplc="7E82B6D2">
      <w:start w:val="1"/>
      <w:numFmt w:val="decimal"/>
      <w:pStyle w:val="Numberedparagraphs"/>
      <w:lvlText w:val="%1."/>
      <w:lvlJc w:val="left"/>
      <w:pPr>
        <w:ind w:left="720" w:hanging="360"/>
      </w:pPr>
      <w:rPr>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218F8"/>
    <w:multiLevelType w:val="hybridMultilevel"/>
    <w:tmpl w:val="3FECBE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D6877EA"/>
    <w:multiLevelType w:val="hybridMultilevel"/>
    <w:tmpl w:val="7F1A8D36"/>
    <w:lvl w:ilvl="0" w:tplc="BE60FA2E">
      <w:start w:val="1"/>
      <w:numFmt w:val="decimal"/>
      <w:lvlText w:val="%1."/>
      <w:lvlJc w:val="left"/>
      <w:pPr>
        <w:ind w:left="900" w:hanging="360"/>
      </w:pPr>
      <w:rPr>
        <w:rFonts w:asciiTheme="majorHAnsi" w:hAnsiTheme="majorHAnsi"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E0D2EA3"/>
    <w:multiLevelType w:val="hybridMultilevel"/>
    <w:tmpl w:val="695C5854"/>
    <w:lvl w:ilvl="0" w:tplc="152E06A8">
      <w:start w:val="1"/>
      <w:numFmt w:val="lowerLetter"/>
      <w:pStyle w:val="Subnumerado"/>
      <w:lvlText w:val="%1."/>
      <w:lvlJc w:val="left"/>
      <w:pPr>
        <w:ind w:left="1800" w:hanging="360"/>
      </w:pPr>
      <w:rPr>
        <w:rFonts w:hint="default"/>
        <w:b w:val="0"/>
        <w:i w:val="0"/>
        <w:color w:val="808080" w:themeColor="background1" w:themeShade="80"/>
        <w:sz w:val="18"/>
        <w:szCs w:val="20"/>
        <w:lang w:val="es-ES"/>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6" w15:restartNumberingAfterBreak="0">
    <w:nsid w:val="41D143BF"/>
    <w:multiLevelType w:val="hybridMultilevel"/>
    <w:tmpl w:val="71288362"/>
    <w:lvl w:ilvl="0" w:tplc="31B44BF2">
      <w:start w:val="1"/>
      <w:numFmt w:val="bullet"/>
      <w:lvlText w:val=""/>
      <w:lvlJc w:val="left"/>
      <w:pPr>
        <w:ind w:left="1267" w:hanging="360"/>
      </w:pPr>
      <w:rPr>
        <w:rFonts w:ascii="Symbol" w:hAnsi="Symbol" w:hint="default"/>
      </w:rPr>
    </w:lvl>
    <w:lvl w:ilvl="1" w:tplc="2C0A0003" w:tentative="1">
      <w:start w:val="1"/>
      <w:numFmt w:val="bullet"/>
      <w:lvlText w:val="o"/>
      <w:lvlJc w:val="left"/>
      <w:pPr>
        <w:ind w:left="1987" w:hanging="360"/>
      </w:pPr>
      <w:rPr>
        <w:rFonts w:ascii="Courier New" w:hAnsi="Courier New" w:cs="Courier New" w:hint="default"/>
      </w:rPr>
    </w:lvl>
    <w:lvl w:ilvl="2" w:tplc="2C0A0005" w:tentative="1">
      <w:start w:val="1"/>
      <w:numFmt w:val="bullet"/>
      <w:lvlText w:val=""/>
      <w:lvlJc w:val="left"/>
      <w:pPr>
        <w:ind w:left="2707" w:hanging="360"/>
      </w:pPr>
      <w:rPr>
        <w:rFonts w:ascii="Wingdings" w:hAnsi="Wingdings" w:hint="default"/>
      </w:rPr>
    </w:lvl>
    <w:lvl w:ilvl="3" w:tplc="2C0A0001" w:tentative="1">
      <w:start w:val="1"/>
      <w:numFmt w:val="bullet"/>
      <w:lvlText w:val=""/>
      <w:lvlJc w:val="left"/>
      <w:pPr>
        <w:ind w:left="3427" w:hanging="360"/>
      </w:pPr>
      <w:rPr>
        <w:rFonts w:ascii="Symbol" w:hAnsi="Symbol" w:hint="default"/>
      </w:rPr>
    </w:lvl>
    <w:lvl w:ilvl="4" w:tplc="2C0A0003" w:tentative="1">
      <w:start w:val="1"/>
      <w:numFmt w:val="bullet"/>
      <w:lvlText w:val="o"/>
      <w:lvlJc w:val="left"/>
      <w:pPr>
        <w:ind w:left="4147" w:hanging="360"/>
      </w:pPr>
      <w:rPr>
        <w:rFonts w:ascii="Courier New" w:hAnsi="Courier New" w:cs="Courier New" w:hint="default"/>
      </w:rPr>
    </w:lvl>
    <w:lvl w:ilvl="5" w:tplc="2C0A0005" w:tentative="1">
      <w:start w:val="1"/>
      <w:numFmt w:val="bullet"/>
      <w:lvlText w:val=""/>
      <w:lvlJc w:val="left"/>
      <w:pPr>
        <w:ind w:left="4867" w:hanging="360"/>
      </w:pPr>
      <w:rPr>
        <w:rFonts w:ascii="Wingdings" w:hAnsi="Wingdings" w:hint="default"/>
      </w:rPr>
    </w:lvl>
    <w:lvl w:ilvl="6" w:tplc="2C0A0001" w:tentative="1">
      <w:start w:val="1"/>
      <w:numFmt w:val="bullet"/>
      <w:lvlText w:val=""/>
      <w:lvlJc w:val="left"/>
      <w:pPr>
        <w:ind w:left="5587" w:hanging="360"/>
      </w:pPr>
      <w:rPr>
        <w:rFonts w:ascii="Symbol" w:hAnsi="Symbol" w:hint="default"/>
      </w:rPr>
    </w:lvl>
    <w:lvl w:ilvl="7" w:tplc="2C0A0003" w:tentative="1">
      <w:start w:val="1"/>
      <w:numFmt w:val="bullet"/>
      <w:lvlText w:val="o"/>
      <w:lvlJc w:val="left"/>
      <w:pPr>
        <w:ind w:left="6307" w:hanging="360"/>
      </w:pPr>
      <w:rPr>
        <w:rFonts w:ascii="Courier New" w:hAnsi="Courier New" w:cs="Courier New" w:hint="default"/>
      </w:rPr>
    </w:lvl>
    <w:lvl w:ilvl="8" w:tplc="2C0A0005" w:tentative="1">
      <w:start w:val="1"/>
      <w:numFmt w:val="bullet"/>
      <w:lvlText w:val=""/>
      <w:lvlJc w:val="left"/>
      <w:pPr>
        <w:ind w:left="7027" w:hanging="360"/>
      </w:pPr>
      <w:rPr>
        <w:rFonts w:ascii="Wingdings" w:hAnsi="Wingdings" w:hint="default"/>
      </w:rPr>
    </w:lvl>
  </w:abstractNum>
  <w:abstractNum w:abstractNumId="7" w15:restartNumberingAfterBreak="0">
    <w:nsid w:val="55FA14C1"/>
    <w:multiLevelType w:val="hybridMultilevel"/>
    <w:tmpl w:val="96D2A2CE"/>
    <w:lvl w:ilvl="0" w:tplc="04244904">
      <w:start w:val="1"/>
      <w:numFmt w:val="decimal"/>
      <w:pStyle w:val="Parrnumerado"/>
      <w:lvlText w:val="%1."/>
      <w:lvlJc w:val="left"/>
      <w:pPr>
        <w:ind w:left="720" w:hanging="360"/>
      </w:pPr>
      <w:rPr>
        <w:rFonts w:asciiTheme="majorHAnsi" w:hAnsiTheme="majorHAnsi" w:hint="default"/>
        <w:strike w:val="0"/>
        <w:color w:val="808080" w:themeColor="background1" w:themeShade="8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54602"/>
    <w:multiLevelType w:val="hybridMultilevel"/>
    <w:tmpl w:val="5EE25EF4"/>
    <w:lvl w:ilvl="0" w:tplc="19F6459A">
      <w:start w:val="1"/>
      <w:numFmt w:val="upperRoman"/>
      <w:lvlText w:val="%1."/>
      <w:lvlJc w:val="left"/>
      <w:pPr>
        <w:tabs>
          <w:tab w:val="num" w:pos="1080"/>
        </w:tabs>
        <w:ind w:left="1080" w:hanging="720"/>
      </w:pPr>
      <w:rPr>
        <w:rFonts w:hint="default"/>
      </w:rPr>
    </w:lvl>
    <w:lvl w:ilvl="1" w:tplc="4C8E367E">
      <w:start w:val="1"/>
      <w:numFmt w:val="upperLetter"/>
      <w:lvlText w:val="%2."/>
      <w:lvlJc w:val="left"/>
      <w:pPr>
        <w:tabs>
          <w:tab w:val="num" w:pos="2160"/>
        </w:tabs>
        <w:ind w:left="2160" w:hanging="108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0D76B034">
      <w:start w:val="1"/>
      <w:numFmt w:val="decimal"/>
      <w:lvlText w:val="%4."/>
      <w:lvlJc w:val="left"/>
      <w:pPr>
        <w:tabs>
          <w:tab w:val="num" w:pos="2880"/>
        </w:tabs>
        <w:ind w:left="2880" w:hanging="360"/>
      </w:pPr>
      <w:rPr>
        <w:rFonts w:hint="default"/>
      </w:rPr>
    </w:lvl>
    <w:lvl w:ilvl="4" w:tplc="18582BFE">
      <w:start w:val="1"/>
      <w:numFmt w:val="lowerRoman"/>
      <w:lvlText w:val="%5."/>
      <w:lvlJc w:val="left"/>
      <w:pPr>
        <w:tabs>
          <w:tab w:val="num" w:pos="3960"/>
        </w:tabs>
        <w:ind w:left="3960" w:hanging="720"/>
      </w:pPr>
      <w:rPr>
        <w:rFonts w:ascii="Calibri" w:eastAsia="Times New Roman" w:hAnsi="Calibri" w:cs="Times New Roman" w:hint="default"/>
      </w:rPr>
    </w:lvl>
    <w:lvl w:ilvl="5" w:tplc="C97C2BAC">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5A07CC"/>
    <w:multiLevelType w:val="hybridMultilevel"/>
    <w:tmpl w:val="1766E3F0"/>
    <w:lvl w:ilvl="0" w:tplc="0409001B">
      <w:start w:val="1"/>
      <w:numFmt w:val="lowerRoman"/>
      <w:lvlText w:val="%1."/>
      <w:lvlJc w:val="right"/>
      <w:pPr>
        <w:ind w:left="2250" w:hanging="360"/>
      </w:pPr>
      <w:rPr>
        <w:rFonts w:hint="default"/>
      </w:rPr>
    </w:lvl>
    <w:lvl w:ilvl="1" w:tplc="053AF470">
      <w:start w:val="4"/>
      <w:numFmt w:val="upperRoman"/>
      <w:lvlText w:val="%2."/>
      <w:lvlJc w:val="left"/>
      <w:pPr>
        <w:tabs>
          <w:tab w:val="num" w:pos="3254"/>
        </w:tabs>
        <w:ind w:left="3254" w:hanging="720"/>
      </w:pPr>
      <w:rPr>
        <w:rFonts w:hint="default"/>
      </w:rPr>
    </w:lvl>
    <w:lvl w:ilvl="2" w:tplc="0409001B">
      <w:start w:val="1"/>
      <w:numFmt w:val="lowerRoman"/>
      <w:lvlText w:val="%3."/>
      <w:lvlJc w:val="right"/>
      <w:pPr>
        <w:ind w:left="3614" w:hanging="180"/>
      </w:pPr>
    </w:lvl>
    <w:lvl w:ilvl="3" w:tplc="46408EFC">
      <w:start w:val="1"/>
      <w:numFmt w:val="lowerLetter"/>
      <w:lvlText w:val="(%4)"/>
      <w:lvlJc w:val="left"/>
      <w:pPr>
        <w:ind w:left="5414" w:hanging="1440"/>
      </w:pPr>
      <w:rPr>
        <w:rFonts w:hint="default"/>
      </w:r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0" w15:restartNumberingAfterBreak="0">
    <w:nsid w:val="670C7495"/>
    <w:multiLevelType w:val="multilevel"/>
    <w:tmpl w:val="E64817F0"/>
    <w:lvl w:ilvl="0">
      <w:start w:val="1"/>
      <w:numFmt w:val="none"/>
      <w:pStyle w:val="Ttulo1"/>
      <w:lvlText w:val=""/>
      <w:lvlJc w:val="left"/>
      <w:pPr>
        <w:ind w:left="360" w:hanging="360"/>
      </w:pPr>
      <w:rPr>
        <w:rFonts w:asciiTheme="majorHAnsi" w:hAnsiTheme="majorHAnsi" w:cs="Times New Roman" w:hint="default"/>
        <w:b/>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1">
      <w:start w:val="1"/>
      <w:numFmt w:val="upperLetter"/>
      <w:pStyle w:val="Ttulo2"/>
      <w:lvlText w:val="%2."/>
      <w:lvlJc w:val="left"/>
      <w:pPr>
        <w:ind w:left="1080" w:hanging="360"/>
      </w:pPr>
      <w:rPr>
        <w:rFonts w:hint="default"/>
        <w:i/>
      </w:rPr>
    </w:lvl>
    <w:lvl w:ilvl="2">
      <w:start w:val="1"/>
      <w:numFmt w:val="decimal"/>
      <w:pStyle w:val="Ttulo3"/>
      <w:lvlText w:val="%3."/>
      <w:lvlJc w:val="left"/>
      <w:pPr>
        <w:ind w:left="1800" w:hanging="180"/>
      </w:pPr>
      <w:rPr>
        <w:rFonts w:hint="default"/>
      </w:rPr>
    </w:lvl>
    <w:lvl w:ilvl="3">
      <w:start w:val="1"/>
      <w:numFmt w:val="lowerLetter"/>
      <w:pStyle w:val="Ttulo4"/>
      <w:lvlText w:val="%4."/>
      <w:lvlJc w:val="left"/>
      <w:pPr>
        <w:ind w:left="2520" w:hanging="360"/>
      </w:pPr>
      <w:rPr>
        <w:rFonts w:hint="default"/>
      </w:rPr>
    </w:lvl>
    <w:lvl w:ilvl="4">
      <w:start w:val="1"/>
      <w:numFmt w:val="lowerRoman"/>
      <w:pStyle w:val="Ttulo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11" w15:restartNumberingAfterBreak="0">
    <w:nsid w:val="6FCD6288"/>
    <w:multiLevelType w:val="hybridMultilevel"/>
    <w:tmpl w:val="0B5C0F0A"/>
    <w:lvl w:ilvl="0" w:tplc="D7161752">
      <w:start w:val="1"/>
      <w:numFmt w:val="decimal"/>
      <w:lvlText w:val="%1."/>
      <w:lvlJc w:val="left"/>
      <w:pPr>
        <w:ind w:left="1440" w:hanging="360"/>
      </w:pPr>
      <w:rPr>
        <w:rFonts w:asciiTheme="majorHAnsi" w:hAnsiTheme="majorHAnsi" w:hint="default"/>
        <w:b w:val="0"/>
        <w:i w:val="0"/>
        <w:color w:val="808080" w:themeColor="background1" w:themeShade="80"/>
        <w:sz w:val="18"/>
        <w:szCs w:val="20"/>
        <w:lang w:val="es-ES"/>
      </w:rPr>
    </w:lvl>
    <w:lvl w:ilvl="1" w:tplc="6DAE3D0C">
      <w:start w:val="1"/>
      <w:numFmt w:val="lowerLetter"/>
      <w:lvlText w:val="%2."/>
      <w:lvlJc w:val="left"/>
      <w:pPr>
        <w:ind w:left="2160" w:hanging="360"/>
      </w:pPr>
      <w:rPr>
        <w:color w:val="404040" w:themeColor="text1" w:themeTint="BF"/>
      </w:rPr>
    </w:lvl>
    <w:lvl w:ilvl="2" w:tplc="7AFEC67E">
      <w:start w:val="1"/>
      <w:numFmt w:val="lowerRoman"/>
      <w:lvlText w:val="%3."/>
      <w:lvlJc w:val="left"/>
      <w:pPr>
        <w:ind w:left="2880" w:hanging="180"/>
      </w:pPr>
      <w:rPr>
        <w:rFonts w:asciiTheme="majorHAnsi" w:hAnsiTheme="majorHAnsi"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37C010F4">
      <w:numFmt w:val="bullet"/>
      <w:lvlText w:val="-"/>
      <w:lvlJc w:val="left"/>
      <w:pPr>
        <w:ind w:left="5760" w:hanging="360"/>
      </w:pPr>
      <w:rPr>
        <w:rFonts w:ascii="Cambria" w:eastAsia="MS Mincho" w:hAnsi="Cambria" w:cs="Times New Roman"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B57656"/>
    <w:multiLevelType w:val="hybridMultilevel"/>
    <w:tmpl w:val="6DAE14C0"/>
    <w:lvl w:ilvl="0" w:tplc="83806080">
      <w:start w:val="1"/>
      <w:numFmt w:val="decimal"/>
      <w:lvlText w:val="%1."/>
      <w:lvlJc w:val="left"/>
      <w:pPr>
        <w:tabs>
          <w:tab w:val="num" w:pos="720"/>
        </w:tabs>
        <w:ind w:left="720" w:hanging="360"/>
      </w:pPr>
      <w:rPr>
        <w:rFonts w:cs="Times New Roman" w:hint="default"/>
      </w:rPr>
    </w:lvl>
    <w:lvl w:ilvl="1" w:tplc="CE8A1910">
      <w:start w:val="1"/>
      <w:numFmt w:val="lowerLetter"/>
      <w:lvlText w:val="(%2)"/>
      <w:lvlJc w:val="left"/>
      <w:pPr>
        <w:tabs>
          <w:tab w:val="num" w:pos="1440"/>
        </w:tabs>
        <w:ind w:left="1440" w:hanging="360"/>
      </w:pPr>
      <w:rPr>
        <w:rFonts w:ascii="Univers" w:hAnsi="Univer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8BC0717"/>
    <w:multiLevelType w:val="hybridMultilevel"/>
    <w:tmpl w:val="5ABA0C40"/>
    <w:lvl w:ilvl="0" w:tplc="31B44BF2">
      <w:start w:val="1"/>
      <w:numFmt w:val="bullet"/>
      <w:lvlText w:val=""/>
      <w:lvlJc w:val="left"/>
      <w:pPr>
        <w:ind w:left="1620" w:hanging="360"/>
      </w:pPr>
      <w:rPr>
        <w:rFonts w:ascii="Symbol" w:hAnsi="Symbol" w:hint="default"/>
      </w:rPr>
    </w:lvl>
    <w:lvl w:ilvl="1" w:tplc="2C0A0003" w:tentative="1">
      <w:start w:val="1"/>
      <w:numFmt w:val="bullet"/>
      <w:lvlText w:val="o"/>
      <w:lvlJc w:val="left"/>
      <w:pPr>
        <w:ind w:left="2340" w:hanging="360"/>
      </w:pPr>
      <w:rPr>
        <w:rFonts w:ascii="Courier New" w:hAnsi="Courier New" w:cs="Courier New" w:hint="default"/>
      </w:rPr>
    </w:lvl>
    <w:lvl w:ilvl="2" w:tplc="2C0A0005" w:tentative="1">
      <w:start w:val="1"/>
      <w:numFmt w:val="bullet"/>
      <w:lvlText w:val=""/>
      <w:lvlJc w:val="left"/>
      <w:pPr>
        <w:ind w:left="3060" w:hanging="360"/>
      </w:pPr>
      <w:rPr>
        <w:rFonts w:ascii="Wingdings" w:hAnsi="Wingdings" w:hint="default"/>
      </w:rPr>
    </w:lvl>
    <w:lvl w:ilvl="3" w:tplc="2C0A0001" w:tentative="1">
      <w:start w:val="1"/>
      <w:numFmt w:val="bullet"/>
      <w:lvlText w:val=""/>
      <w:lvlJc w:val="left"/>
      <w:pPr>
        <w:ind w:left="3780" w:hanging="360"/>
      </w:pPr>
      <w:rPr>
        <w:rFonts w:ascii="Symbol" w:hAnsi="Symbol" w:hint="default"/>
      </w:rPr>
    </w:lvl>
    <w:lvl w:ilvl="4" w:tplc="2C0A0003" w:tentative="1">
      <w:start w:val="1"/>
      <w:numFmt w:val="bullet"/>
      <w:lvlText w:val="o"/>
      <w:lvlJc w:val="left"/>
      <w:pPr>
        <w:ind w:left="4500" w:hanging="360"/>
      </w:pPr>
      <w:rPr>
        <w:rFonts w:ascii="Courier New" w:hAnsi="Courier New" w:cs="Courier New" w:hint="default"/>
      </w:rPr>
    </w:lvl>
    <w:lvl w:ilvl="5" w:tplc="2C0A0005" w:tentative="1">
      <w:start w:val="1"/>
      <w:numFmt w:val="bullet"/>
      <w:lvlText w:val=""/>
      <w:lvlJc w:val="left"/>
      <w:pPr>
        <w:ind w:left="5220" w:hanging="360"/>
      </w:pPr>
      <w:rPr>
        <w:rFonts w:ascii="Wingdings" w:hAnsi="Wingdings" w:hint="default"/>
      </w:rPr>
    </w:lvl>
    <w:lvl w:ilvl="6" w:tplc="2C0A0001" w:tentative="1">
      <w:start w:val="1"/>
      <w:numFmt w:val="bullet"/>
      <w:lvlText w:val=""/>
      <w:lvlJc w:val="left"/>
      <w:pPr>
        <w:ind w:left="5940" w:hanging="360"/>
      </w:pPr>
      <w:rPr>
        <w:rFonts w:ascii="Symbol" w:hAnsi="Symbol" w:hint="default"/>
      </w:rPr>
    </w:lvl>
    <w:lvl w:ilvl="7" w:tplc="2C0A0003" w:tentative="1">
      <w:start w:val="1"/>
      <w:numFmt w:val="bullet"/>
      <w:lvlText w:val="o"/>
      <w:lvlJc w:val="left"/>
      <w:pPr>
        <w:ind w:left="6660" w:hanging="360"/>
      </w:pPr>
      <w:rPr>
        <w:rFonts w:ascii="Courier New" w:hAnsi="Courier New" w:cs="Courier New" w:hint="default"/>
      </w:rPr>
    </w:lvl>
    <w:lvl w:ilvl="8" w:tplc="2C0A0005" w:tentative="1">
      <w:start w:val="1"/>
      <w:numFmt w:val="bullet"/>
      <w:lvlText w:val=""/>
      <w:lvlJc w:val="left"/>
      <w:pPr>
        <w:ind w:left="7380" w:hanging="360"/>
      </w:pPr>
      <w:rPr>
        <w:rFonts w:ascii="Wingdings" w:hAnsi="Wingdings" w:hint="default"/>
      </w:rPr>
    </w:lvl>
  </w:abstractNum>
  <w:num w:numId="1">
    <w:abstractNumId w:val="8"/>
  </w:num>
  <w:num w:numId="2">
    <w:abstractNumId w:val="9"/>
  </w:num>
  <w:num w:numId="3">
    <w:abstractNumId w:val="11"/>
  </w:num>
  <w:num w:numId="4">
    <w:abstractNumId w:val="4"/>
  </w:num>
  <w:num w:numId="5">
    <w:abstractNumId w:val="12"/>
  </w:num>
  <w:num w:numId="6">
    <w:abstractNumId w:val="2"/>
  </w:num>
  <w:num w:numId="7">
    <w:abstractNumId w:val="7"/>
  </w:num>
  <w:num w:numId="8">
    <w:abstractNumId w:val="10"/>
  </w:num>
  <w:num w:numId="9">
    <w:abstractNumId w:val="7"/>
    <w:lvlOverride w:ilvl="0">
      <w:startOverride w:val="1"/>
    </w:lvlOverride>
  </w:num>
  <w:num w:numId="10">
    <w:abstractNumId w:val="5"/>
  </w:num>
  <w:num w:numId="11">
    <w:abstractNumId w:val="5"/>
    <w:lvlOverride w:ilvl="0">
      <w:startOverride w:val="1"/>
    </w:lvlOverride>
  </w:num>
  <w:num w:numId="12">
    <w:abstractNumId w:val="3"/>
  </w:num>
  <w:num w:numId="13">
    <w:abstractNumId w:val="1"/>
  </w:num>
  <w:num w:numId="14">
    <w:abstractNumId w:val="13"/>
  </w:num>
  <w:num w:numId="15">
    <w:abstractNumId w:val="0"/>
  </w:num>
  <w:num w:numId="16">
    <w:abstractNumId w:val="5"/>
    <w:lvlOverride w:ilvl="0">
      <w:startOverride w:val="1"/>
    </w:lvlOverride>
  </w:num>
  <w:num w:numId="17">
    <w:abstractNumId w:val="6"/>
  </w:num>
  <w:num w:numId="18">
    <w:abstractNumId w:val="5"/>
    <w:lvlOverride w:ilvl="0">
      <w:startOverride w:val="1"/>
    </w:lvlOverride>
  </w:num>
  <w:num w:numId="19">
    <w:abstractNumId w:val="5"/>
  </w:num>
  <w:num w:numId="20">
    <w:abstractNumId w:val="7"/>
    <w:lvlOverride w:ilvl="0">
      <w:startOverride w:val="32"/>
    </w:lvlOverride>
  </w:num>
  <w:num w:numId="21">
    <w:abstractNumId w:val="7"/>
    <w:lvlOverride w:ilvl="0">
      <w:startOverride w:val="76"/>
    </w:lvlOverride>
  </w:num>
  <w:num w:numId="22">
    <w:abstractNumId w:val="7"/>
    <w:lvlOverride w:ilvl="0">
      <w:startOverride w:val="216"/>
    </w:lvlOverride>
  </w:num>
  <w:num w:numId="23">
    <w:abstractNumId w:val="7"/>
    <w:lvlOverride w:ilvl="0">
      <w:startOverride w:val="262"/>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hideSpellingErrors/>
  <w:activeWritingStyle w:appName="MSWord" w:lang="pt-BR" w:vendorID="64" w:dllVersion="6" w:nlCheck="1" w:checkStyle="0"/>
  <w:activeWritingStyle w:appName="MSWord" w:lang="es-UY"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fr-CA" w:vendorID="64" w:dllVersion="6" w:nlCheck="1" w:checkStyle="1"/>
  <w:activeWritingStyle w:appName="MSWord" w:lang="es-SV" w:vendorID="64" w:dllVersion="6" w:nlCheck="1" w:checkStyle="1"/>
  <w:activeWritingStyle w:appName="MSWord" w:lang="es-HN" w:vendorID="64" w:dllVersion="6" w:nlCheck="1" w:checkStyle="1"/>
  <w:activeWritingStyle w:appName="MSWord" w:lang="es-AR" w:vendorID="64" w:dllVersion="6" w:nlCheck="1" w:checkStyle="1"/>
  <w:activeWritingStyle w:appName="MSWord" w:lang="es-CL" w:vendorID="64" w:dllVersion="6" w:nlCheck="1" w:checkStyle="1"/>
  <w:activeWritingStyle w:appName="MSWord" w:lang="es-US" w:vendorID="64" w:dllVersion="6" w:nlCheck="1" w:checkStyle="1"/>
  <w:activeWritingStyle w:appName="MSWord" w:lang="es-CO" w:vendorID="64" w:dllVersion="6" w:nlCheck="1" w:checkStyle="1"/>
  <w:activeWritingStyle w:appName="MSWord" w:lang="fr-FR" w:vendorID="64" w:dllVersion="6" w:nlCheck="1" w:checkStyle="1"/>
  <w:activeWritingStyle w:appName="MSWord" w:lang="es-CR" w:vendorID="64" w:dllVersion="6" w:nlCheck="1" w:checkStyle="1"/>
  <w:activeWritingStyle w:appName="MSWord" w:lang="es-DO" w:vendorID="64" w:dllVersion="6" w:nlCheck="1" w:checkStyle="1"/>
  <w:activeWritingStyle w:appName="MSWord" w:lang="es-PE" w:vendorID="64" w:dllVersion="6" w:nlCheck="1" w:checkStyle="1"/>
  <w:activeWritingStyle w:appName="MSWord" w:lang="en-GB" w:vendorID="64" w:dllVersion="6" w:nlCheck="1" w:checkStyle="1"/>
  <w:activeWritingStyle w:appName="MSWord" w:lang="en-029" w:vendorID="64" w:dllVersion="6" w:nlCheck="1" w:checkStyle="1"/>
  <w:activeWritingStyle w:appName="MSWord" w:lang="pt-BR" w:vendorID="64" w:dllVersion="0" w:nlCheck="1" w:checkStyle="0"/>
  <w:activeWritingStyle w:appName="MSWord" w:lang="en-US" w:vendorID="64" w:dllVersion="0" w:nlCheck="1" w:checkStyle="0"/>
  <w:activeWritingStyle w:appName="MSWord" w:lang="fr-CA" w:vendorID="64" w:dllVersion="0" w:nlCheck="1" w:checkStyle="0"/>
  <w:activeWritingStyle w:appName="MSWord" w:lang="es-ES" w:vendorID="64" w:dllVersion="0" w:nlCheck="1" w:checkStyle="0"/>
  <w:activeWritingStyle w:appName="MSWord" w:lang="es-SV" w:vendorID="64" w:dllVersion="0" w:nlCheck="1" w:checkStyle="0"/>
  <w:activeWritingStyle w:appName="MSWord" w:lang="es-419"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n-029"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C7"/>
    <w:rsid w:val="000002CC"/>
    <w:rsid w:val="00001B79"/>
    <w:rsid w:val="00002080"/>
    <w:rsid w:val="000026D9"/>
    <w:rsid w:val="00002BBE"/>
    <w:rsid w:val="000032AD"/>
    <w:rsid w:val="00004B51"/>
    <w:rsid w:val="00005D34"/>
    <w:rsid w:val="0000615B"/>
    <w:rsid w:val="000063C8"/>
    <w:rsid w:val="00006B28"/>
    <w:rsid w:val="0001036D"/>
    <w:rsid w:val="00010681"/>
    <w:rsid w:val="00010AC9"/>
    <w:rsid w:val="00011600"/>
    <w:rsid w:val="00012EAA"/>
    <w:rsid w:val="0001301C"/>
    <w:rsid w:val="00013348"/>
    <w:rsid w:val="00013975"/>
    <w:rsid w:val="00013EDC"/>
    <w:rsid w:val="00014A25"/>
    <w:rsid w:val="0001523F"/>
    <w:rsid w:val="000154D5"/>
    <w:rsid w:val="0001584D"/>
    <w:rsid w:val="000163D7"/>
    <w:rsid w:val="00016655"/>
    <w:rsid w:val="00016BD9"/>
    <w:rsid w:val="00016E80"/>
    <w:rsid w:val="00020C98"/>
    <w:rsid w:val="00021075"/>
    <w:rsid w:val="00021628"/>
    <w:rsid w:val="00022FD5"/>
    <w:rsid w:val="000232CB"/>
    <w:rsid w:val="00023358"/>
    <w:rsid w:val="00025439"/>
    <w:rsid w:val="000265A3"/>
    <w:rsid w:val="00026EDA"/>
    <w:rsid w:val="00027E96"/>
    <w:rsid w:val="00027F7F"/>
    <w:rsid w:val="00030092"/>
    <w:rsid w:val="00031973"/>
    <w:rsid w:val="00031AD8"/>
    <w:rsid w:val="00031D83"/>
    <w:rsid w:val="00032211"/>
    <w:rsid w:val="00032AEC"/>
    <w:rsid w:val="00032DB9"/>
    <w:rsid w:val="00032E48"/>
    <w:rsid w:val="00033B0E"/>
    <w:rsid w:val="00034A66"/>
    <w:rsid w:val="00034BC6"/>
    <w:rsid w:val="00034C98"/>
    <w:rsid w:val="0003518B"/>
    <w:rsid w:val="00036BC8"/>
    <w:rsid w:val="00036C80"/>
    <w:rsid w:val="00036F86"/>
    <w:rsid w:val="000378D6"/>
    <w:rsid w:val="00040FCA"/>
    <w:rsid w:val="00041424"/>
    <w:rsid w:val="0004188B"/>
    <w:rsid w:val="00041963"/>
    <w:rsid w:val="00041A1B"/>
    <w:rsid w:val="0004224A"/>
    <w:rsid w:val="00044106"/>
    <w:rsid w:val="000444A5"/>
    <w:rsid w:val="000452F9"/>
    <w:rsid w:val="000462E5"/>
    <w:rsid w:val="00046E47"/>
    <w:rsid w:val="00047E33"/>
    <w:rsid w:val="00052F7C"/>
    <w:rsid w:val="00053281"/>
    <w:rsid w:val="000542AB"/>
    <w:rsid w:val="0005446B"/>
    <w:rsid w:val="0005455B"/>
    <w:rsid w:val="00054608"/>
    <w:rsid w:val="00054618"/>
    <w:rsid w:val="00054892"/>
    <w:rsid w:val="00054DF0"/>
    <w:rsid w:val="00054E79"/>
    <w:rsid w:val="000557F6"/>
    <w:rsid w:val="00055F04"/>
    <w:rsid w:val="000568D8"/>
    <w:rsid w:val="00056CE9"/>
    <w:rsid w:val="00057088"/>
    <w:rsid w:val="00057EFD"/>
    <w:rsid w:val="00061063"/>
    <w:rsid w:val="00061134"/>
    <w:rsid w:val="000618A2"/>
    <w:rsid w:val="00061D3F"/>
    <w:rsid w:val="00062CB8"/>
    <w:rsid w:val="00062F95"/>
    <w:rsid w:val="0006347F"/>
    <w:rsid w:val="00064A84"/>
    <w:rsid w:val="00065AE7"/>
    <w:rsid w:val="0006606C"/>
    <w:rsid w:val="0006645D"/>
    <w:rsid w:val="000666B4"/>
    <w:rsid w:val="00066C2E"/>
    <w:rsid w:val="00070411"/>
    <w:rsid w:val="00070547"/>
    <w:rsid w:val="0007060A"/>
    <w:rsid w:val="00070839"/>
    <w:rsid w:val="00070851"/>
    <w:rsid w:val="00070D17"/>
    <w:rsid w:val="00070E15"/>
    <w:rsid w:val="00071465"/>
    <w:rsid w:val="00071504"/>
    <w:rsid w:val="000717EA"/>
    <w:rsid w:val="00071FB0"/>
    <w:rsid w:val="00072889"/>
    <w:rsid w:val="00072FF8"/>
    <w:rsid w:val="00073960"/>
    <w:rsid w:val="00073E8C"/>
    <w:rsid w:val="00073F6B"/>
    <w:rsid w:val="000740BD"/>
    <w:rsid w:val="00075CF0"/>
    <w:rsid w:val="00077FE6"/>
    <w:rsid w:val="0008000F"/>
    <w:rsid w:val="000801AC"/>
    <w:rsid w:val="00080337"/>
    <w:rsid w:val="0008037D"/>
    <w:rsid w:val="00080855"/>
    <w:rsid w:val="000811A0"/>
    <w:rsid w:val="00081C43"/>
    <w:rsid w:val="00081E42"/>
    <w:rsid w:val="000820B1"/>
    <w:rsid w:val="00082137"/>
    <w:rsid w:val="000821E5"/>
    <w:rsid w:val="0008231E"/>
    <w:rsid w:val="000825FF"/>
    <w:rsid w:val="0008297C"/>
    <w:rsid w:val="00083C28"/>
    <w:rsid w:val="000848CA"/>
    <w:rsid w:val="00085392"/>
    <w:rsid w:val="000857F4"/>
    <w:rsid w:val="00085900"/>
    <w:rsid w:val="00086712"/>
    <w:rsid w:val="000869CB"/>
    <w:rsid w:val="00086E60"/>
    <w:rsid w:val="00086FEA"/>
    <w:rsid w:val="00087B3F"/>
    <w:rsid w:val="000903C2"/>
    <w:rsid w:val="00090942"/>
    <w:rsid w:val="000909D2"/>
    <w:rsid w:val="0009208D"/>
    <w:rsid w:val="00092351"/>
    <w:rsid w:val="00092360"/>
    <w:rsid w:val="00092454"/>
    <w:rsid w:val="000924D3"/>
    <w:rsid w:val="00092819"/>
    <w:rsid w:val="00094FF0"/>
    <w:rsid w:val="00096068"/>
    <w:rsid w:val="00096C52"/>
    <w:rsid w:val="00097EBA"/>
    <w:rsid w:val="00097ECE"/>
    <w:rsid w:val="000A05A4"/>
    <w:rsid w:val="000A05FD"/>
    <w:rsid w:val="000A0642"/>
    <w:rsid w:val="000A06DE"/>
    <w:rsid w:val="000A086C"/>
    <w:rsid w:val="000A190D"/>
    <w:rsid w:val="000A19C3"/>
    <w:rsid w:val="000A1AFE"/>
    <w:rsid w:val="000A2E2D"/>
    <w:rsid w:val="000A2F15"/>
    <w:rsid w:val="000A3C89"/>
    <w:rsid w:val="000A4482"/>
    <w:rsid w:val="000A4F36"/>
    <w:rsid w:val="000A55D3"/>
    <w:rsid w:val="000A5620"/>
    <w:rsid w:val="000A5C26"/>
    <w:rsid w:val="000A5D33"/>
    <w:rsid w:val="000A5E63"/>
    <w:rsid w:val="000A5FAF"/>
    <w:rsid w:val="000A6AAE"/>
    <w:rsid w:val="000A6C03"/>
    <w:rsid w:val="000B02D3"/>
    <w:rsid w:val="000B03E3"/>
    <w:rsid w:val="000B0CFE"/>
    <w:rsid w:val="000B159B"/>
    <w:rsid w:val="000B22C0"/>
    <w:rsid w:val="000B2512"/>
    <w:rsid w:val="000B388A"/>
    <w:rsid w:val="000B3F5E"/>
    <w:rsid w:val="000B41BC"/>
    <w:rsid w:val="000B4D7F"/>
    <w:rsid w:val="000B4FAC"/>
    <w:rsid w:val="000B6245"/>
    <w:rsid w:val="000B67D9"/>
    <w:rsid w:val="000B684B"/>
    <w:rsid w:val="000B7DEE"/>
    <w:rsid w:val="000C00F6"/>
    <w:rsid w:val="000C105E"/>
    <w:rsid w:val="000C141C"/>
    <w:rsid w:val="000C1451"/>
    <w:rsid w:val="000C1CE1"/>
    <w:rsid w:val="000C22AE"/>
    <w:rsid w:val="000C3186"/>
    <w:rsid w:val="000C45B0"/>
    <w:rsid w:val="000C4742"/>
    <w:rsid w:val="000C60F2"/>
    <w:rsid w:val="000C6E2E"/>
    <w:rsid w:val="000C7828"/>
    <w:rsid w:val="000C78FB"/>
    <w:rsid w:val="000C7AAC"/>
    <w:rsid w:val="000D0E3B"/>
    <w:rsid w:val="000D0EB3"/>
    <w:rsid w:val="000D2D2E"/>
    <w:rsid w:val="000D2E28"/>
    <w:rsid w:val="000D2F11"/>
    <w:rsid w:val="000D308B"/>
    <w:rsid w:val="000D3690"/>
    <w:rsid w:val="000D44E9"/>
    <w:rsid w:val="000D5662"/>
    <w:rsid w:val="000D5736"/>
    <w:rsid w:val="000D5BDD"/>
    <w:rsid w:val="000D6282"/>
    <w:rsid w:val="000D64B5"/>
    <w:rsid w:val="000D6554"/>
    <w:rsid w:val="000D678B"/>
    <w:rsid w:val="000D69BA"/>
    <w:rsid w:val="000D6C46"/>
    <w:rsid w:val="000D6EF4"/>
    <w:rsid w:val="000D6F16"/>
    <w:rsid w:val="000D6F40"/>
    <w:rsid w:val="000D742C"/>
    <w:rsid w:val="000D781C"/>
    <w:rsid w:val="000D7E95"/>
    <w:rsid w:val="000E0C86"/>
    <w:rsid w:val="000E12A4"/>
    <w:rsid w:val="000E2045"/>
    <w:rsid w:val="000E2439"/>
    <w:rsid w:val="000E35A3"/>
    <w:rsid w:val="000E68EE"/>
    <w:rsid w:val="000E6CB6"/>
    <w:rsid w:val="000F0837"/>
    <w:rsid w:val="000F0B6D"/>
    <w:rsid w:val="000F11B7"/>
    <w:rsid w:val="000F22AF"/>
    <w:rsid w:val="000F298E"/>
    <w:rsid w:val="000F40AE"/>
    <w:rsid w:val="000F42D0"/>
    <w:rsid w:val="000F49B1"/>
    <w:rsid w:val="000F6256"/>
    <w:rsid w:val="000F6B74"/>
    <w:rsid w:val="000F6EA7"/>
    <w:rsid w:val="001007ED"/>
    <w:rsid w:val="00100D91"/>
    <w:rsid w:val="00101ADC"/>
    <w:rsid w:val="00101D80"/>
    <w:rsid w:val="00102839"/>
    <w:rsid w:val="0010295F"/>
    <w:rsid w:val="001029AC"/>
    <w:rsid w:val="00103066"/>
    <w:rsid w:val="00103069"/>
    <w:rsid w:val="00103161"/>
    <w:rsid w:val="0010329C"/>
    <w:rsid w:val="00103A15"/>
    <w:rsid w:val="00103CBE"/>
    <w:rsid w:val="00103DA3"/>
    <w:rsid w:val="0010454F"/>
    <w:rsid w:val="00104918"/>
    <w:rsid w:val="001057EE"/>
    <w:rsid w:val="00105F21"/>
    <w:rsid w:val="00106A3E"/>
    <w:rsid w:val="00106CA1"/>
    <w:rsid w:val="0011002A"/>
    <w:rsid w:val="00110128"/>
    <w:rsid w:val="001106FC"/>
    <w:rsid w:val="00110F7B"/>
    <w:rsid w:val="001116AC"/>
    <w:rsid w:val="0011178C"/>
    <w:rsid w:val="00112049"/>
    <w:rsid w:val="00112477"/>
    <w:rsid w:val="001128DE"/>
    <w:rsid w:val="00112BD4"/>
    <w:rsid w:val="0011303F"/>
    <w:rsid w:val="001142D5"/>
    <w:rsid w:val="0011455C"/>
    <w:rsid w:val="0011495E"/>
    <w:rsid w:val="00115396"/>
    <w:rsid w:val="0011575C"/>
    <w:rsid w:val="0011644A"/>
    <w:rsid w:val="00116C61"/>
    <w:rsid w:val="00116FEE"/>
    <w:rsid w:val="00117448"/>
    <w:rsid w:val="001175A5"/>
    <w:rsid w:val="0011771D"/>
    <w:rsid w:val="00117974"/>
    <w:rsid w:val="00117EE5"/>
    <w:rsid w:val="00120056"/>
    <w:rsid w:val="00120933"/>
    <w:rsid w:val="00120A89"/>
    <w:rsid w:val="00121ABE"/>
    <w:rsid w:val="00121B1E"/>
    <w:rsid w:val="00122153"/>
    <w:rsid w:val="0012285F"/>
    <w:rsid w:val="001238FD"/>
    <w:rsid w:val="00123A2B"/>
    <w:rsid w:val="00123DF4"/>
    <w:rsid w:val="00123E3A"/>
    <w:rsid w:val="001249F9"/>
    <w:rsid w:val="00124A99"/>
    <w:rsid w:val="00125C17"/>
    <w:rsid w:val="00126FB4"/>
    <w:rsid w:val="0012702B"/>
    <w:rsid w:val="00127169"/>
    <w:rsid w:val="0012772D"/>
    <w:rsid w:val="00127752"/>
    <w:rsid w:val="00130296"/>
    <w:rsid w:val="00130ABE"/>
    <w:rsid w:val="00130BFB"/>
    <w:rsid w:val="0013105F"/>
    <w:rsid w:val="0013134D"/>
    <w:rsid w:val="00132243"/>
    <w:rsid w:val="00132517"/>
    <w:rsid w:val="001335B9"/>
    <w:rsid w:val="001337CA"/>
    <w:rsid w:val="001338CA"/>
    <w:rsid w:val="00133DEA"/>
    <w:rsid w:val="00134B1C"/>
    <w:rsid w:val="00135F63"/>
    <w:rsid w:val="001366D5"/>
    <w:rsid w:val="00136A6F"/>
    <w:rsid w:val="00137303"/>
    <w:rsid w:val="00137D27"/>
    <w:rsid w:val="00137E9F"/>
    <w:rsid w:val="0014017A"/>
    <w:rsid w:val="00141064"/>
    <w:rsid w:val="0014117C"/>
    <w:rsid w:val="001414D4"/>
    <w:rsid w:val="00142085"/>
    <w:rsid w:val="00142BB7"/>
    <w:rsid w:val="001435DD"/>
    <w:rsid w:val="00145651"/>
    <w:rsid w:val="00146722"/>
    <w:rsid w:val="0014776B"/>
    <w:rsid w:val="00147B84"/>
    <w:rsid w:val="001504B3"/>
    <w:rsid w:val="00150C5B"/>
    <w:rsid w:val="00150FB2"/>
    <w:rsid w:val="001523AE"/>
    <w:rsid w:val="0015262C"/>
    <w:rsid w:val="00152667"/>
    <w:rsid w:val="00152EAE"/>
    <w:rsid w:val="00153EA2"/>
    <w:rsid w:val="00154322"/>
    <w:rsid w:val="0015434E"/>
    <w:rsid w:val="00155750"/>
    <w:rsid w:val="00155824"/>
    <w:rsid w:val="00155A4D"/>
    <w:rsid w:val="00156712"/>
    <w:rsid w:val="00156D2F"/>
    <w:rsid w:val="00156DA7"/>
    <w:rsid w:val="00160C26"/>
    <w:rsid w:val="00160C78"/>
    <w:rsid w:val="001612B1"/>
    <w:rsid w:val="001613C2"/>
    <w:rsid w:val="00161B53"/>
    <w:rsid w:val="001622CD"/>
    <w:rsid w:val="0016370E"/>
    <w:rsid w:val="00165290"/>
    <w:rsid w:val="001654ED"/>
    <w:rsid w:val="00165B1C"/>
    <w:rsid w:val="00165CF0"/>
    <w:rsid w:val="00165E7D"/>
    <w:rsid w:val="00166432"/>
    <w:rsid w:val="001664B1"/>
    <w:rsid w:val="00166622"/>
    <w:rsid w:val="00167044"/>
    <w:rsid w:val="0016749A"/>
    <w:rsid w:val="00170780"/>
    <w:rsid w:val="001707FA"/>
    <w:rsid w:val="00170BCE"/>
    <w:rsid w:val="00171A8C"/>
    <w:rsid w:val="00172B6E"/>
    <w:rsid w:val="00172E3D"/>
    <w:rsid w:val="001740B5"/>
    <w:rsid w:val="0017530B"/>
    <w:rsid w:val="00175660"/>
    <w:rsid w:val="0017571F"/>
    <w:rsid w:val="0017676C"/>
    <w:rsid w:val="00176F60"/>
    <w:rsid w:val="00177A97"/>
    <w:rsid w:val="001807FA"/>
    <w:rsid w:val="00181BE3"/>
    <w:rsid w:val="00181BF2"/>
    <w:rsid w:val="00181DB4"/>
    <w:rsid w:val="00181F86"/>
    <w:rsid w:val="00182F21"/>
    <w:rsid w:val="00184240"/>
    <w:rsid w:val="00184A38"/>
    <w:rsid w:val="00184C62"/>
    <w:rsid w:val="001851EC"/>
    <w:rsid w:val="00185282"/>
    <w:rsid w:val="001868E4"/>
    <w:rsid w:val="00186D70"/>
    <w:rsid w:val="001917DA"/>
    <w:rsid w:val="0019203D"/>
    <w:rsid w:val="001927FE"/>
    <w:rsid w:val="00194115"/>
    <w:rsid w:val="001944CA"/>
    <w:rsid w:val="00195EB8"/>
    <w:rsid w:val="001962AB"/>
    <w:rsid w:val="001967CC"/>
    <w:rsid w:val="00196AED"/>
    <w:rsid w:val="00197345"/>
    <w:rsid w:val="00197FF5"/>
    <w:rsid w:val="001A032F"/>
    <w:rsid w:val="001A0C8D"/>
    <w:rsid w:val="001A19F3"/>
    <w:rsid w:val="001A3836"/>
    <w:rsid w:val="001A414B"/>
    <w:rsid w:val="001A4727"/>
    <w:rsid w:val="001A4C26"/>
    <w:rsid w:val="001A58FF"/>
    <w:rsid w:val="001A68F6"/>
    <w:rsid w:val="001A69E8"/>
    <w:rsid w:val="001A6A73"/>
    <w:rsid w:val="001A7122"/>
    <w:rsid w:val="001B1645"/>
    <w:rsid w:val="001B23CA"/>
    <w:rsid w:val="001B24ED"/>
    <w:rsid w:val="001B2637"/>
    <w:rsid w:val="001B2664"/>
    <w:rsid w:val="001B275C"/>
    <w:rsid w:val="001B30B3"/>
    <w:rsid w:val="001B3BD9"/>
    <w:rsid w:val="001B3DBB"/>
    <w:rsid w:val="001B4104"/>
    <w:rsid w:val="001B4573"/>
    <w:rsid w:val="001B47CD"/>
    <w:rsid w:val="001B5349"/>
    <w:rsid w:val="001B5E83"/>
    <w:rsid w:val="001B656F"/>
    <w:rsid w:val="001B6D35"/>
    <w:rsid w:val="001B6DC3"/>
    <w:rsid w:val="001B73D7"/>
    <w:rsid w:val="001C0269"/>
    <w:rsid w:val="001C0BC4"/>
    <w:rsid w:val="001C14CD"/>
    <w:rsid w:val="001C1F98"/>
    <w:rsid w:val="001C261C"/>
    <w:rsid w:val="001C27BB"/>
    <w:rsid w:val="001C2B87"/>
    <w:rsid w:val="001C389B"/>
    <w:rsid w:val="001C40FF"/>
    <w:rsid w:val="001C44DB"/>
    <w:rsid w:val="001C5C92"/>
    <w:rsid w:val="001C621C"/>
    <w:rsid w:val="001C7881"/>
    <w:rsid w:val="001C7E4C"/>
    <w:rsid w:val="001D0CDA"/>
    <w:rsid w:val="001D1012"/>
    <w:rsid w:val="001D1BBE"/>
    <w:rsid w:val="001D1CBF"/>
    <w:rsid w:val="001D1DE9"/>
    <w:rsid w:val="001D20D3"/>
    <w:rsid w:val="001D2533"/>
    <w:rsid w:val="001D321F"/>
    <w:rsid w:val="001D3245"/>
    <w:rsid w:val="001D4351"/>
    <w:rsid w:val="001D438A"/>
    <w:rsid w:val="001D48CF"/>
    <w:rsid w:val="001D4928"/>
    <w:rsid w:val="001D4BEF"/>
    <w:rsid w:val="001D4EA6"/>
    <w:rsid w:val="001D5451"/>
    <w:rsid w:val="001D68A7"/>
    <w:rsid w:val="001D7031"/>
    <w:rsid w:val="001E12A0"/>
    <w:rsid w:val="001E140D"/>
    <w:rsid w:val="001E142D"/>
    <w:rsid w:val="001E14E7"/>
    <w:rsid w:val="001E1B76"/>
    <w:rsid w:val="001E2416"/>
    <w:rsid w:val="001E271D"/>
    <w:rsid w:val="001E2927"/>
    <w:rsid w:val="001E29D3"/>
    <w:rsid w:val="001E2B7F"/>
    <w:rsid w:val="001E320E"/>
    <w:rsid w:val="001E3631"/>
    <w:rsid w:val="001E3805"/>
    <w:rsid w:val="001E512C"/>
    <w:rsid w:val="001E54AA"/>
    <w:rsid w:val="001E5519"/>
    <w:rsid w:val="001E5AB5"/>
    <w:rsid w:val="001E5E66"/>
    <w:rsid w:val="001E7041"/>
    <w:rsid w:val="001F0383"/>
    <w:rsid w:val="001F0636"/>
    <w:rsid w:val="001F0BC3"/>
    <w:rsid w:val="001F0C2D"/>
    <w:rsid w:val="001F107D"/>
    <w:rsid w:val="001F110E"/>
    <w:rsid w:val="001F1D6F"/>
    <w:rsid w:val="001F1F25"/>
    <w:rsid w:val="001F2439"/>
    <w:rsid w:val="001F2711"/>
    <w:rsid w:val="001F2B92"/>
    <w:rsid w:val="001F33F6"/>
    <w:rsid w:val="001F35DD"/>
    <w:rsid w:val="001F41A1"/>
    <w:rsid w:val="001F44EB"/>
    <w:rsid w:val="001F51A2"/>
    <w:rsid w:val="001F5BE8"/>
    <w:rsid w:val="001F6807"/>
    <w:rsid w:val="001F6CD9"/>
    <w:rsid w:val="001F6EFE"/>
    <w:rsid w:val="001F7590"/>
    <w:rsid w:val="001F7F5F"/>
    <w:rsid w:val="001F7FCB"/>
    <w:rsid w:val="0020020A"/>
    <w:rsid w:val="00200230"/>
    <w:rsid w:val="0020037D"/>
    <w:rsid w:val="00200D53"/>
    <w:rsid w:val="00201DF5"/>
    <w:rsid w:val="00201E26"/>
    <w:rsid w:val="00202CB5"/>
    <w:rsid w:val="00202DB3"/>
    <w:rsid w:val="00203BFF"/>
    <w:rsid w:val="00203C6D"/>
    <w:rsid w:val="00205470"/>
    <w:rsid w:val="00206EBF"/>
    <w:rsid w:val="00207088"/>
    <w:rsid w:val="00207117"/>
    <w:rsid w:val="0020743B"/>
    <w:rsid w:val="00207D0C"/>
    <w:rsid w:val="00207DD3"/>
    <w:rsid w:val="002104BE"/>
    <w:rsid w:val="00210701"/>
    <w:rsid w:val="00210971"/>
    <w:rsid w:val="00210D4C"/>
    <w:rsid w:val="0021141F"/>
    <w:rsid w:val="002125BC"/>
    <w:rsid w:val="00212B21"/>
    <w:rsid w:val="00212B73"/>
    <w:rsid w:val="00212E17"/>
    <w:rsid w:val="00212F5C"/>
    <w:rsid w:val="00213ABF"/>
    <w:rsid w:val="00214A35"/>
    <w:rsid w:val="00216628"/>
    <w:rsid w:val="00217134"/>
    <w:rsid w:val="00217DDA"/>
    <w:rsid w:val="0022018D"/>
    <w:rsid w:val="002202C1"/>
    <w:rsid w:val="002204C0"/>
    <w:rsid w:val="00220A30"/>
    <w:rsid w:val="00221E70"/>
    <w:rsid w:val="00221F1B"/>
    <w:rsid w:val="0022230C"/>
    <w:rsid w:val="0022231E"/>
    <w:rsid w:val="00222A9D"/>
    <w:rsid w:val="00222B1D"/>
    <w:rsid w:val="00222B26"/>
    <w:rsid w:val="0022326D"/>
    <w:rsid w:val="0022332A"/>
    <w:rsid w:val="00223435"/>
    <w:rsid w:val="00223FB4"/>
    <w:rsid w:val="002244F2"/>
    <w:rsid w:val="0022452E"/>
    <w:rsid w:val="00224C06"/>
    <w:rsid w:val="002252C6"/>
    <w:rsid w:val="002258E8"/>
    <w:rsid w:val="00225F6F"/>
    <w:rsid w:val="00226806"/>
    <w:rsid w:val="0022771C"/>
    <w:rsid w:val="002308AB"/>
    <w:rsid w:val="002308CC"/>
    <w:rsid w:val="00230A7D"/>
    <w:rsid w:val="002313E1"/>
    <w:rsid w:val="00231ACF"/>
    <w:rsid w:val="00234D3D"/>
    <w:rsid w:val="00235334"/>
    <w:rsid w:val="002353FE"/>
    <w:rsid w:val="002364B0"/>
    <w:rsid w:val="0023721E"/>
    <w:rsid w:val="00237EA5"/>
    <w:rsid w:val="0024154A"/>
    <w:rsid w:val="002416A4"/>
    <w:rsid w:val="00241BF0"/>
    <w:rsid w:val="00242956"/>
    <w:rsid w:val="00243B1C"/>
    <w:rsid w:val="002442F7"/>
    <w:rsid w:val="00245374"/>
    <w:rsid w:val="002456EA"/>
    <w:rsid w:val="0024658B"/>
    <w:rsid w:val="002467B0"/>
    <w:rsid w:val="0024688F"/>
    <w:rsid w:val="00246D84"/>
    <w:rsid w:val="002475A5"/>
    <w:rsid w:val="00247711"/>
    <w:rsid w:val="00247DC3"/>
    <w:rsid w:val="0025014B"/>
    <w:rsid w:val="00250536"/>
    <w:rsid w:val="002506E4"/>
    <w:rsid w:val="00250D46"/>
    <w:rsid w:val="00250F9B"/>
    <w:rsid w:val="0025132D"/>
    <w:rsid w:val="00253A93"/>
    <w:rsid w:val="0025476B"/>
    <w:rsid w:val="0025489B"/>
    <w:rsid w:val="00254E80"/>
    <w:rsid w:val="0025506E"/>
    <w:rsid w:val="0025570C"/>
    <w:rsid w:val="00255E36"/>
    <w:rsid w:val="0025606E"/>
    <w:rsid w:val="00256176"/>
    <w:rsid w:val="002569AC"/>
    <w:rsid w:val="00256EFC"/>
    <w:rsid w:val="00256F09"/>
    <w:rsid w:val="002573BD"/>
    <w:rsid w:val="002576A5"/>
    <w:rsid w:val="002577FA"/>
    <w:rsid w:val="00257E57"/>
    <w:rsid w:val="0026000F"/>
    <w:rsid w:val="00260154"/>
    <w:rsid w:val="0026060B"/>
    <w:rsid w:val="00260C46"/>
    <w:rsid w:val="00261042"/>
    <w:rsid w:val="00261285"/>
    <w:rsid w:val="002617AE"/>
    <w:rsid w:val="00261F94"/>
    <w:rsid w:val="0026200A"/>
    <w:rsid w:val="00263A1A"/>
    <w:rsid w:val="00263E77"/>
    <w:rsid w:val="002643C9"/>
    <w:rsid w:val="002646EA"/>
    <w:rsid w:val="00264813"/>
    <w:rsid w:val="00264ECA"/>
    <w:rsid w:val="00265585"/>
    <w:rsid w:val="002655B4"/>
    <w:rsid w:val="00265AA5"/>
    <w:rsid w:val="00265B6C"/>
    <w:rsid w:val="002660A4"/>
    <w:rsid w:val="0026692A"/>
    <w:rsid w:val="00266964"/>
    <w:rsid w:val="00266EEB"/>
    <w:rsid w:val="00266F80"/>
    <w:rsid w:val="0026733B"/>
    <w:rsid w:val="002710B9"/>
    <w:rsid w:val="00272658"/>
    <w:rsid w:val="00273A43"/>
    <w:rsid w:val="00274A22"/>
    <w:rsid w:val="002750C5"/>
    <w:rsid w:val="002755EE"/>
    <w:rsid w:val="00275713"/>
    <w:rsid w:val="002763AE"/>
    <w:rsid w:val="0027643F"/>
    <w:rsid w:val="00277194"/>
    <w:rsid w:val="002773D9"/>
    <w:rsid w:val="00277F64"/>
    <w:rsid w:val="002802C8"/>
    <w:rsid w:val="00280B1B"/>
    <w:rsid w:val="00280F0A"/>
    <w:rsid w:val="0028126B"/>
    <w:rsid w:val="00282222"/>
    <w:rsid w:val="00282937"/>
    <w:rsid w:val="00282EF1"/>
    <w:rsid w:val="00283579"/>
    <w:rsid w:val="0028367E"/>
    <w:rsid w:val="0028423C"/>
    <w:rsid w:val="00284A3A"/>
    <w:rsid w:val="00284F99"/>
    <w:rsid w:val="00285997"/>
    <w:rsid w:val="00285BD7"/>
    <w:rsid w:val="0028654D"/>
    <w:rsid w:val="00287065"/>
    <w:rsid w:val="00287CE9"/>
    <w:rsid w:val="0029156F"/>
    <w:rsid w:val="00291B6D"/>
    <w:rsid w:val="00291EE0"/>
    <w:rsid w:val="002931D4"/>
    <w:rsid w:val="002931DF"/>
    <w:rsid w:val="0029328B"/>
    <w:rsid w:val="002940F0"/>
    <w:rsid w:val="0029429F"/>
    <w:rsid w:val="0029491A"/>
    <w:rsid w:val="00294EC8"/>
    <w:rsid w:val="00295D49"/>
    <w:rsid w:val="00297034"/>
    <w:rsid w:val="002971C9"/>
    <w:rsid w:val="002979E1"/>
    <w:rsid w:val="002A06B5"/>
    <w:rsid w:val="002A0750"/>
    <w:rsid w:val="002A138A"/>
    <w:rsid w:val="002A2264"/>
    <w:rsid w:val="002A2F7E"/>
    <w:rsid w:val="002A320D"/>
    <w:rsid w:val="002A37A0"/>
    <w:rsid w:val="002A3CFB"/>
    <w:rsid w:val="002A45CE"/>
    <w:rsid w:val="002A5FB9"/>
    <w:rsid w:val="002A6F1E"/>
    <w:rsid w:val="002A767F"/>
    <w:rsid w:val="002B0280"/>
    <w:rsid w:val="002B0AAB"/>
    <w:rsid w:val="002B0B4C"/>
    <w:rsid w:val="002B1EE0"/>
    <w:rsid w:val="002B21F1"/>
    <w:rsid w:val="002B296F"/>
    <w:rsid w:val="002B3460"/>
    <w:rsid w:val="002B3918"/>
    <w:rsid w:val="002B3D41"/>
    <w:rsid w:val="002B4853"/>
    <w:rsid w:val="002B4AF7"/>
    <w:rsid w:val="002B51BC"/>
    <w:rsid w:val="002B52F8"/>
    <w:rsid w:val="002B5418"/>
    <w:rsid w:val="002B5793"/>
    <w:rsid w:val="002B5EBF"/>
    <w:rsid w:val="002B64B9"/>
    <w:rsid w:val="002B6F74"/>
    <w:rsid w:val="002C0775"/>
    <w:rsid w:val="002C0A91"/>
    <w:rsid w:val="002C0D11"/>
    <w:rsid w:val="002C18E9"/>
    <w:rsid w:val="002C1F5A"/>
    <w:rsid w:val="002C2E5E"/>
    <w:rsid w:val="002C40C4"/>
    <w:rsid w:val="002C4AAF"/>
    <w:rsid w:val="002C4E99"/>
    <w:rsid w:val="002C523B"/>
    <w:rsid w:val="002C57BA"/>
    <w:rsid w:val="002C5809"/>
    <w:rsid w:val="002C5DD8"/>
    <w:rsid w:val="002C642B"/>
    <w:rsid w:val="002C6CDD"/>
    <w:rsid w:val="002C71BF"/>
    <w:rsid w:val="002C7D38"/>
    <w:rsid w:val="002D20A0"/>
    <w:rsid w:val="002D29A5"/>
    <w:rsid w:val="002D3F2D"/>
    <w:rsid w:val="002D46BC"/>
    <w:rsid w:val="002D4A85"/>
    <w:rsid w:val="002D4C20"/>
    <w:rsid w:val="002D523A"/>
    <w:rsid w:val="002D5EB2"/>
    <w:rsid w:val="002D69E5"/>
    <w:rsid w:val="002D7602"/>
    <w:rsid w:val="002E1B51"/>
    <w:rsid w:val="002E1E71"/>
    <w:rsid w:val="002E255E"/>
    <w:rsid w:val="002E2889"/>
    <w:rsid w:val="002E2D45"/>
    <w:rsid w:val="002E3FDC"/>
    <w:rsid w:val="002E4838"/>
    <w:rsid w:val="002E4843"/>
    <w:rsid w:val="002E4AD2"/>
    <w:rsid w:val="002E571C"/>
    <w:rsid w:val="002E5F84"/>
    <w:rsid w:val="002E65AB"/>
    <w:rsid w:val="002E7278"/>
    <w:rsid w:val="002F04D4"/>
    <w:rsid w:val="002F056D"/>
    <w:rsid w:val="002F0759"/>
    <w:rsid w:val="002F10E1"/>
    <w:rsid w:val="002F23E6"/>
    <w:rsid w:val="002F27EF"/>
    <w:rsid w:val="002F38B3"/>
    <w:rsid w:val="002F3BDD"/>
    <w:rsid w:val="002F4282"/>
    <w:rsid w:val="002F4831"/>
    <w:rsid w:val="002F4A98"/>
    <w:rsid w:val="002F4E04"/>
    <w:rsid w:val="002F51B4"/>
    <w:rsid w:val="002F51C0"/>
    <w:rsid w:val="002F5B07"/>
    <w:rsid w:val="002F657F"/>
    <w:rsid w:val="002F6D0A"/>
    <w:rsid w:val="002F6D46"/>
    <w:rsid w:val="002F70E7"/>
    <w:rsid w:val="002F79A3"/>
    <w:rsid w:val="002F7DD7"/>
    <w:rsid w:val="00300030"/>
    <w:rsid w:val="003007DC"/>
    <w:rsid w:val="003010A9"/>
    <w:rsid w:val="00303431"/>
    <w:rsid w:val="003060B7"/>
    <w:rsid w:val="00306122"/>
    <w:rsid w:val="00306198"/>
    <w:rsid w:val="00306DED"/>
    <w:rsid w:val="003073E1"/>
    <w:rsid w:val="003078AF"/>
    <w:rsid w:val="00307E6F"/>
    <w:rsid w:val="00310607"/>
    <w:rsid w:val="00310821"/>
    <w:rsid w:val="00310851"/>
    <w:rsid w:val="00311392"/>
    <w:rsid w:val="0031144C"/>
    <w:rsid w:val="00311994"/>
    <w:rsid w:val="00311EA8"/>
    <w:rsid w:val="003127A0"/>
    <w:rsid w:val="00312933"/>
    <w:rsid w:val="003135AB"/>
    <w:rsid w:val="003139FA"/>
    <w:rsid w:val="00313AC0"/>
    <w:rsid w:val="00314E6A"/>
    <w:rsid w:val="00317969"/>
    <w:rsid w:val="00317E8D"/>
    <w:rsid w:val="00320030"/>
    <w:rsid w:val="003205A3"/>
    <w:rsid w:val="00320DAD"/>
    <w:rsid w:val="00320FA3"/>
    <w:rsid w:val="003219F9"/>
    <w:rsid w:val="003221C8"/>
    <w:rsid w:val="00322311"/>
    <w:rsid w:val="00322E0E"/>
    <w:rsid w:val="00322E83"/>
    <w:rsid w:val="00322EB4"/>
    <w:rsid w:val="00323BC3"/>
    <w:rsid w:val="0032419D"/>
    <w:rsid w:val="0032561F"/>
    <w:rsid w:val="00326395"/>
    <w:rsid w:val="0032662A"/>
    <w:rsid w:val="00326FE2"/>
    <w:rsid w:val="00327FC0"/>
    <w:rsid w:val="00330963"/>
    <w:rsid w:val="00331E75"/>
    <w:rsid w:val="00332E3C"/>
    <w:rsid w:val="00332FD9"/>
    <w:rsid w:val="00334D3F"/>
    <w:rsid w:val="00334F22"/>
    <w:rsid w:val="0033534C"/>
    <w:rsid w:val="00335DEB"/>
    <w:rsid w:val="003364AD"/>
    <w:rsid w:val="00336C91"/>
    <w:rsid w:val="00337DAF"/>
    <w:rsid w:val="003402EF"/>
    <w:rsid w:val="00340947"/>
    <w:rsid w:val="00341442"/>
    <w:rsid w:val="00341494"/>
    <w:rsid w:val="00341A61"/>
    <w:rsid w:val="00342339"/>
    <w:rsid w:val="003428A5"/>
    <w:rsid w:val="00343031"/>
    <w:rsid w:val="003437E4"/>
    <w:rsid w:val="00344134"/>
    <w:rsid w:val="00344486"/>
    <w:rsid w:val="0034458E"/>
    <w:rsid w:val="00344F69"/>
    <w:rsid w:val="003451BC"/>
    <w:rsid w:val="003469C0"/>
    <w:rsid w:val="00346ADD"/>
    <w:rsid w:val="00347431"/>
    <w:rsid w:val="00350420"/>
    <w:rsid w:val="00351CE4"/>
    <w:rsid w:val="00352A3A"/>
    <w:rsid w:val="00352E57"/>
    <w:rsid w:val="00354CB0"/>
    <w:rsid w:val="00354D00"/>
    <w:rsid w:val="00355737"/>
    <w:rsid w:val="0035576E"/>
    <w:rsid w:val="00355EFB"/>
    <w:rsid w:val="00356C67"/>
    <w:rsid w:val="0035788D"/>
    <w:rsid w:val="00357951"/>
    <w:rsid w:val="00360A65"/>
    <w:rsid w:val="00361A11"/>
    <w:rsid w:val="00361F9A"/>
    <w:rsid w:val="00362523"/>
    <w:rsid w:val="003627BD"/>
    <w:rsid w:val="00363057"/>
    <w:rsid w:val="003632C0"/>
    <w:rsid w:val="003644E9"/>
    <w:rsid w:val="0036501D"/>
    <w:rsid w:val="00365290"/>
    <w:rsid w:val="00365FBC"/>
    <w:rsid w:val="003667C3"/>
    <w:rsid w:val="0036799A"/>
    <w:rsid w:val="00370CF8"/>
    <w:rsid w:val="00371192"/>
    <w:rsid w:val="00372CE5"/>
    <w:rsid w:val="003730C5"/>
    <w:rsid w:val="00373ADD"/>
    <w:rsid w:val="00373C30"/>
    <w:rsid w:val="00373D92"/>
    <w:rsid w:val="0037461D"/>
    <w:rsid w:val="00375122"/>
    <w:rsid w:val="003753E5"/>
    <w:rsid w:val="003760FA"/>
    <w:rsid w:val="00376908"/>
    <w:rsid w:val="00376FE9"/>
    <w:rsid w:val="00377411"/>
    <w:rsid w:val="00380D04"/>
    <w:rsid w:val="00381642"/>
    <w:rsid w:val="0038197A"/>
    <w:rsid w:val="00382D88"/>
    <w:rsid w:val="00382E48"/>
    <w:rsid w:val="00383374"/>
    <w:rsid w:val="00383A80"/>
    <w:rsid w:val="00383BED"/>
    <w:rsid w:val="00383DD7"/>
    <w:rsid w:val="00383E1B"/>
    <w:rsid w:val="00384C58"/>
    <w:rsid w:val="003854E3"/>
    <w:rsid w:val="0038586D"/>
    <w:rsid w:val="003860B8"/>
    <w:rsid w:val="00386589"/>
    <w:rsid w:val="00387942"/>
    <w:rsid w:val="00387E3F"/>
    <w:rsid w:val="003911A3"/>
    <w:rsid w:val="00391533"/>
    <w:rsid w:val="00391CB8"/>
    <w:rsid w:val="00391EA0"/>
    <w:rsid w:val="003927AD"/>
    <w:rsid w:val="00392E10"/>
    <w:rsid w:val="00393AAF"/>
    <w:rsid w:val="00394365"/>
    <w:rsid w:val="00395CE0"/>
    <w:rsid w:val="003973C7"/>
    <w:rsid w:val="003975F2"/>
    <w:rsid w:val="00397D61"/>
    <w:rsid w:val="003A0289"/>
    <w:rsid w:val="003A09FE"/>
    <w:rsid w:val="003A107D"/>
    <w:rsid w:val="003A133F"/>
    <w:rsid w:val="003A1D15"/>
    <w:rsid w:val="003A2616"/>
    <w:rsid w:val="003A379E"/>
    <w:rsid w:val="003A3C16"/>
    <w:rsid w:val="003A48F1"/>
    <w:rsid w:val="003A5BA5"/>
    <w:rsid w:val="003A5C59"/>
    <w:rsid w:val="003A7134"/>
    <w:rsid w:val="003A7B50"/>
    <w:rsid w:val="003B0007"/>
    <w:rsid w:val="003B010D"/>
    <w:rsid w:val="003B1066"/>
    <w:rsid w:val="003B1558"/>
    <w:rsid w:val="003B18A3"/>
    <w:rsid w:val="003B1AB4"/>
    <w:rsid w:val="003B1F73"/>
    <w:rsid w:val="003B2770"/>
    <w:rsid w:val="003B2FD9"/>
    <w:rsid w:val="003B3710"/>
    <w:rsid w:val="003B4440"/>
    <w:rsid w:val="003B542A"/>
    <w:rsid w:val="003B6277"/>
    <w:rsid w:val="003B7453"/>
    <w:rsid w:val="003B7820"/>
    <w:rsid w:val="003B7A2D"/>
    <w:rsid w:val="003B7C2F"/>
    <w:rsid w:val="003B7FC4"/>
    <w:rsid w:val="003C0986"/>
    <w:rsid w:val="003C1E48"/>
    <w:rsid w:val="003C1E76"/>
    <w:rsid w:val="003C1ED7"/>
    <w:rsid w:val="003C2AAF"/>
    <w:rsid w:val="003C30F9"/>
    <w:rsid w:val="003C33C4"/>
    <w:rsid w:val="003C3496"/>
    <w:rsid w:val="003C3546"/>
    <w:rsid w:val="003C3580"/>
    <w:rsid w:val="003C35B7"/>
    <w:rsid w:val="003C3678"/>
    <w:rsid w:val="003C40D3"/>
    <w:rsid w:val="003C4ADA"/>
    <w:rsid w:val="003C4F35"/>
    <w:rsid w:val="003C60AC"/>
    <w:rsid w:val="003C627D"/>
    <w:rsid w:val="003C653D"/>
    <w:rsid w:val="003C7621"/>
    <w:rsid w:val="003D0256"/>
    <w:rsid w:val="003D1054"/>
    <w:rsid w:val="003D1F9C"/>
    <w:rsid w:val="003D3856"/>
    <w:rsid w:val="003D3A8C"/>
    <w:rsid w:val="003D3BBE"/>
    <w:rsid w:val="003D582A"/>
    <w:rsid w:val="003D6853"/>
    <w:rsid w:val="003D6906"/>
    <w:rsid w:val="003D6B34"/>
    <w:rsid w:val="003E0BB3"/>
    <w:rsid w:val="003E0D9C"/>
    <w:rsid w:val="003E0F12"/>
    <w:rsid w:val="003E107C"/>
    <w:rsid w:val="003E12A1"/>
    <w:rsid w:val="003E19F8"/>
    <w:rsid w:val="003E37CD"/>
    <w:rsid w:val="003E4AE0"/>
    <w:rsid w:val="003E59A4"/>
    <w:rsid w:val="003E7018"/>
    <w:rsid w:val="003E724D"/>
    <w:rsid w:val="003E7288"/>
    <w:rsid w:val="003E78B9"/>
    <w:rsid w:val="003F05B9"/>
    <w:rsid w:val="003F074C"/>
    <w:rsid w:val="003F09FC"/>
    <w:rsid w:val="003F0B4C"/>
    <w:rsid w:val="003F1E57"/>
    <w:rsid w:val="003F1FAD"/>
    <w:rsid w:val="003F21F0"/>
    <w:rsid w:val="003F2AF9"/>
    <w:rsid w:val="003F399E"/>
    <w:rsid w:val="003F4CA0"/>
    <w:rsid w:val="003F517F"/>
    <w:rsid w:val="003F5EAD"/>
    <w:rsid w:val="003F6718"/>
    <w:rsid w:val="003F7621"/>
    <w:rsid w:val="00400378"/>
    <w:rsid w:val="00400D0B"/>
    <w:rsid w:val="004010E8"/>
    <w:rsid w:val="00401A6A"/>
    <w:rsid w:val="00402C39"/>
    <w:rsid w:val="00403C6A"/>
    <w:rsid w:val="00403E48"/>
    <w:rsid w:val="00404539"/>
    <w:rsid w:val="00404F9A"/>
    <w:rsid w:val="00405F38"/>
    <w:rsid w:val="00405FB0"/>
    <w:rsid w:val="00406BDD"/>
    <w:rsid w:val="00406F11"/>
    <w:rsid w:val="004071D6"/>
    <w:rsid w:val="004075E9"/>
    <w:rsid w:val="00407EAD"/>
    <w:rsid w:val="00407ECC"/>
    <w:rsid w:val="00410890"/>
    <w:rsid w:val="00410A88"/>
    <w:rsid w:val="0041101B"/>
    <w:rsid w:val="004111D3"/>
    <w:rsid w:val="0041176F"/>
    <w:rsid w:val="004128FF"/>
    <w:rsid w:val="00412909"/>
    <w:rsid w:val="00412ACE"/>
    <w:rsid w:val="00413F2E"/>
    <w:rsid w:val="004149DD"/>
    <w:rsid w:val="004150D7"/>
    <w:rsid w:val="00415D12"/>
    <w:rsid w:val="00416424"/>
    <w:rsid w:val="00417B1D"/>
    <w:rsid w:val="00417FD4"/>
    <w:rsid w:val="004200E6"/>
    <w:rsid w:val="00420812"/>
    <w:rsid w:val="00420E44"/>
    <w:rsid w:val="004210EA"/>
    <w:rsid w:val="00421672"/>
    <w:rsid w:val="00422102"/>
    <w:rsid w:val="0042216E"/>
    <w:rsid w:val="00422199"/>
    <w:rsid w:val="004224E9"/>
    <w:rsid w:val="00422DC1"/>
    <w:rsid w:val="00422E47"/>
    <w:rsid w:val="0042331C"/>
    <w:rsid w:val="00423C46"/>
    <w:rsid w:val="00424736"/>
    <w:rsid w:val="00425091"/>
    <w:rsid w:val="0042533B"/>
    <w:rsid w:val="004253F0"/>
    <w:rsid w:val="00426403"/>
    <w:rsid w:val="004270E9"/>
    <w:rsid w:val="00427734"/>
    <w:rsid w:val="0043008A"/>
    <w:rsid w:val="004309C5"/>
    <w:rsid w:val="00431949"/>
    <w:rsid w:val="00431A85"/>
    <w:rsid w:val="00432076"/>
    <w:rsid w:val="0043244D"/>
    <w:rsid w:val="004325F1"/>
    <w:rsid w:val="00432E33"/>
    <w:rsid w:val="00433887"/>
    <w:rsid w:val="00434D1F"/>
    <w:rsid w:val="00435174"/>
    <w:rsid w:val="0043573C"/>
    <w:rsid w:val="00435952"/>
    <w:rsid w:val="00435CD3"/>
    <w:rsid w:val="00436C4E"/>
    <w:rsid w:val="00436FD4"/>
    <w:rsid w:val="00437232"/>
    <w:rsid w:val="004374BD"/>
    <w:rsid w:val="004406D0"/>
    <w:rsid w:val="00441A18"/>
    <w:rsid w:val="004420EF"/>
    <w:rsid w:val="00442C59"/>
    <w:rsid w:val="0044397E"/>
    <w:rsid w:val="00443C27"/>
    <w:rsid w:val="00444199"/>
    <w:rsid w:val="0044498D"/>
    <w:rsid w:val="00445D3B"/>
    <w:rsid w:val="004462F2"/>
    <w:rsid w:val="00446939"/>
    <w:rsid w:val="00446EA8"/>
    <w:rsid w:val="00447633"/>
    <w:rsid w:val="00447703"/>
    <w:rsid w:val="00447F18"/>
    <w:rsid w:val="004500F2"/>
    <w:rsid w:val="0045059D"/>
    <w:rsid w:val="00450632"/>
    <w:rsid w:val="00450E07"/>
    <w:rsid w:val="00451960"/>
    <w:rsid w:val="00451AD6"/>
    <w:rsid w:val="004527F2"/>
    <w:rsid w:val="004544D5"/>
    <w:rsid w:val="00454B0C"/>
    <w:rsid w:val="004557BF"/>
    <w:rsid w:val="004567E3"/>
    <w:rsid w:val="004573CA"/>
    <w:rsid w:val="004576B6"/>
    <w:rsid w:val="00461A62"/>
    <w:rsid w:val="00461EEA"/>
    <w:rsid w:val="004621C7"/>
    <w:rsid w:val="00462359"/>
    <w:rsid w:val="00462DC4"/>
    <w:rsid w:val="00462E2D"/>
    <w:rsid w:val="00462E7B"/>
    <w:rsid w:val="00463246"/>
    <w:rsid w:val="00464555"/>
    <w:rsid w:val="00466093"/>
    <w:rsid w:val="00466281"/>
    <w:rsid w:val="004673DC"/>
    <w:rsid w:val="00467A16"/>
    <w:rsid w:val="0047015C"/>
    <w:rsid w:val="00470394"/>
    <w:rsid w:val="004706AD"/>
    <w:rsid w:val="00471694"/>
    <w:rsid w:val="004717BC"/>
    <w:rsid w:val="004721C7"/>
    <w:rsid w:val="00472208"/>
    <w:rsid w:val="00472968"/>
    <w:rsid w:val="00472AB0"/>
    <w:rsid w:val="00473311"/>
    <w:rsid w:val="00473B7B"/>
    <w:rsid w:val="00473D58"/>
    <w:rsid w:val="0047496D"/>
    <w:rsid w:val="00474AD5"/>
    <w:rsid w:val="00474D2B"/>
    <w:rsid w:val="00474DDA"/>
    <w:rsid w:val="00475F39"/>
    <w:rsid w:val="0047669B"/>
    <w:rsid w:val="00476730"/>
    <w:rsid w:val="004770FE"/>
    <w:rsid w:val="004771F8"/>
    <w:rsid w:val="00480469"/>
    <w:rsid w:val="00480D9C"/>
    <w:rsid w:val="004813DF"/>
    <w:rsid w:val="0048158C"/>
    <w:rsid w:val="00482B7F"/>
    <w:rsid w:val="004830E3"/>
    <w:rsid w:val="00483980"/>
    <w:rsid w:val="0048497D"/>
    <w:rsid w:val="00484EB4"/>
    <w:rsid w:val="00485AFF"/>
    <w:rsid w:val="00486463"/>
    <w:rsid w:val="00487D7B"/>
    <w:rsid w:val="004906C5"/>
    <w:rsid w:val="004908C8"/>
    <w:rsid w:val="00490986"/>
    <w:rsid w:val="00491BEE"/>
    <w:rsid w:val="00492702"/>
    <w:rsid w:val="004933BD"/>
    <w:rsid w:val="004937DA"/>
    <w:rsid w:val="00493929"/>
    <w:rsid w:val="004940DC"/>
    <w:rsid w:val="004945B8"/>
    <w:rsid w:val="00496095"/>
    <w:rsid w:val="00496754"/>
    <w:rsid w:val="004967D1"/>
    <w:rsid w:val="0049707E"/>
    <w:rsid w:val="004979CB"/>
    <w:rsid w:val="004A07C0"/>
    <w:rsid w:val="004A24C5"/>
    <w:rsid w:val="004A25E4"/>
    <w:rsid w:val="004A2C50"/>
    <w:rsid w:val="004A2D08"/>
    <w:rsid w:val="004A2DB7"/>
    <w:rsid w:val="004A30A6"/>
    <w:rsid w:val="004A368E"/>
    <w:rsid w:val="004A39C1"/>
    <w:rsid w:val="004A3EED"/>
    <w:rsid w:val="004A564C"/>
    <w:rsid w:val="004A58FE"/>
    <w:rsid w:val="004A5ADC"/>
    <w:rsid w:val="004A6768"/>
    <w:rsid w:val="004A686A"/>
    <w:rsid w:val="004A6F62"/>
    <w:rsid w:val="004A7944"/>
    <w:rsid w:val="004A7C0C"/>
    <w:rsid w:val="004B010D"/>
    <w:rsid w:val="004B01CA"/>
    <w:rsid w:val="004B0B35"/>
    <w:rsid w:val="004B0B9E"/>
    <w:rsid w:val="004B0DBB"/>
    <w:rsid w:val="004B0E1E"/>
    <w:rsid w:val="004B1188"/>
    <w:rsid w:val="004B1F80"/>
    <w:rsid w:val="004B2C8B"/>
    <w:rsid w:val="004B3F30"/>
    <w:rsid w:val="004B4116"/>
    <w:rsid w:val="004B4765"/>
    <w:rsid w:val="004B4876"/>
    <w:rsid w:val="004B4881"/>
    <w:rsid w:val="004B5828"/>
    <w:rsid w:val="004B5C62"/>
    <w:rsid w:val="004B62FF"/>
    <w:rsid w:val="004B6642"/>
    <w:rsid w:val="004B7B4E"/>
    <w:rsid w:val="004B7DBF"/>
    <w:rsid w:val="004C11D7"/>
    <w:rsid w:val="004C1DEE"/>
    <w:rsid w:val="004C3059"/>
    <w:rsid w:val="004C5600"/>
    <w:rsid w:val="004C5AA7"/>
    <w:rsid w:val="004C6058"/>
    <w:rsid w:val="004D09D2"/>
    <w:rsid w:val="004D1335"/>
    <w:rsid w:val="004D2C78"/>
    <w:rsid w:val="004D38C8"/>
    <w:rsid w:val="004D3EA9"/>
    <w:rsid w:val="004D3F09"/>
    <w:rsid w:val="004D6201"/>
    <w:rsid w:val="004D62AB"/>
    <w:rsid w:val="004D65DF"/>
    <w:rsid w:val="004D6989"/>
    <w:rsid w:val="004D6F47"/>
    <w:rsid w:val="004D798C"/>
    <w:rsid w:val="004E0861"/>
    <w:rsid w:val="004E1D1C"/>
    <w:rsid w:val="004E280B"/>
    <w:rsid w:val="004E2CE3"/>
    <w:rsid w:val="004E2D83"/>
    <w:rsid w:val="004E5E45"/>
    <w:rsid w:val="004E6663"/>
    <w:rsid w:val="004E6921"/>
    <w:rsid w:val="004E7112"/>
    <w:rsid w:val="004E7AE6"/>
    <w:rsid w:val="004E7AFA"/>
    <w:rsid w:val="004F06E3"/>
    <w:rsid w:val="004F1227"/>
    <w:rsid w:val="004F125F"/>
    <w:rsid w:val="004F1766"/>
    <w:rsid w:val="004F1A7B"/>
    <w:rsid w:val="004F1CF5"/>
    <w:rsid w:val="004F2259"/>
    <w:rsid w:val="004F36F9"/>
    <w:rsid w:val="004F383B"/>
    <w:rsid w:val="004F45EE"/>
    <w:rsid w:val="004F4B80"/>
    <w:rsid w:val="004F50B5"/>
    <w:rsid w:val="004F6204"/>
    <w:rsid w:val="004F68F9"/>
    <w:rsid w:val="004F70E6"/>
    <w:rsid w:val="004F74B0"/>
    <w:rsid w:val="004F7791"/>
    <w:rsid w:val="004F7871"/>
    <w:rsid w:val="0050045F"/>
    <w:rsid w:val="00501713"/>
    <w:rsid w:val="00502E42"/>
    <w:rsid w:val="00502E6B"/>
    <w:rsid w:val="00503B1E"/>
    <w:rsid w:val="00503F45"/>
    <w:rsid w:val="00503F8E"/>
    <w:rsid w:val="00504874"/>
    <w:rsid w:val="0050487A"/>
    <w:rsid w:val="00505497"/>
    <w:rsid w:val="00505B0D"/>
    <w:rsid w:val="00506FD6"/>
    <w:rsid w:val="00507624"/>
    <w:rsid w:val="00507C6F"/>
    <w:rsid w:val="00507CFB"/>
    <w:rsid w:val="00510270"/>
    <w:rsid w:val="00510282"/>
    <w:rsid w:val="00510BFF"/>
    <w:rsid w:val="005110E4"/>
    <w:rsid w:val="0051158D"/>
    <w:rsid w:val="00512273"/>
    <w:rsid w:val="0051286D"/>
    <w:rsid w:val="005129D6"/>
    <w:rsid w:val="00513F10"/>
    <w:rsid w:val="00514126"/>
    <w:rsid w:val="005147E0"/>
    <w:rsid w:val="005150D1"/>
    <w:rsid w:val="005158CF"/>
    <w:rsid w:val="00515A4B"/>
    <w:rsid w:val="00516639"/>
    <w:rsid w:val="005209FF"/>
    <w:rsid w:val="00520DFA"/>
    <w:rsid w:val="00521A0F"/>
    <w:rsid w:val="005226D3"/>
    <w:rsid w:val="00522A78"/>
    <w:rsid w:val="00522B34"/>
    <w:rsid w:val="00523F86"/>
    <w:rsid w:val="00524901"/>
    <w:rsid w:val="00525C39"/>
    <w:rsid w:val="00526155"/>
    <w:rsid w:val="00526756"/>
    <w:rsid w:val="0052691D"/>
    <w:rsid w:val="00526E8D"/>
    <w:rsid w:val="00527CA2"/>
    <w:rsid w:val="00530BDC"/>
    <w:rsid w:val="00530CBF"/>
    <w:rsid w:val="00531839"/>
    <w:rsid w:val="00531B94"/>
    <w:rsid w:val="00531F51"/>
    <w:rsid w:val="00532809"/>
    <w:rsid w:val="005330D6"/>
    <w:rsid w:val="00533233"/>
    <w:rsid w:val="00533659"/>
    <w:rsid w:val="0053378A"/>
    <w:rsid w:val="00533D5D"/>
    <w:rsid w:val="00535414"/>
    <w:rsid w:val="00535418"/>
    <w:rsid w:val="00535A89"/>
    <w:rsid w:val="00535E8E"/>
    <w:rsid w:val="00536C6F"/>
    <w:rsid w:val="00537600"/>
    <w:rsid w:val="005408D3"/>
    <w:rsid w:val="00540D7D"/>
    <w:rsid w:val="00542134"/>
    <w:rsid w:val="00542406"/>
    <w:rsid w:val="00542BA8"/>
    <w:rsid w:val="0054353E"/>
    <w:rsid w:val="00544151"/>
    <w:rsid w:val="00544617"/>
    <w:rsid w:val="00544956"/>
    <w:rsid w:val="005449D0"/>
    <w:rsid w:val="00544DCE"/>
    <w:rsid w:val="00544DD5"/>
    <w:rsid w:val="00544FD8"/>
    <w:rsid w:val="005451B3"/>
    <w:rsid w:val="00545761"/>
    <w:rsid w:val="00545D04"/>
    <w:rsid w:val="00546790"/>
    <w:rsid w:val="00546BAC"/>
    <w:rsid w:val="00547417"/>
    <w:rsid w:val="0054777E"/>
    <w:rsid w:val="00547E29"/>
    <w:rsid w:val="00550314"/>
    <w:rsid w:val="005508B1"/>
    <w:rsid w:val="00550EFF"/>
    <w:rsid w:val="00550FF8"/>
    <w:rsid w:val="00551732"/>
    <w:rsid w:val="0055214C"/>
    <w:rsid w:val="0055288A"/>
    <w:rsid w:val="0055302D"/>
    <w:rsid w:val="005531EB"/>
    <w:rsid w:val="00553819"/>
    <w:rsid w:val="00553A92"/>
    <w:rsid w:val="00553ADF"/>
    <w:rsid w:val="00553B36"/>
    <w:rsid w:val="0055421A"/>
    <w:rsid w:val="00554978"/>
    <w:rsid w:val="00554CB7"/>
    <w:rsid w:val="00555123"/>
    <w:rsid w:val="00555A08"/>
    <w:rsid w:val="00555D27"/>
    <w:rsid w:val="00557134"/>
    <w:rsid w:val="005575AD"/>
    <w:rsid w:val="005575C3"/>
    <w:rsid w:val="005578BB"/>
    <w:rsid w:val="005601EA"/>
    <w:rsid w:val="005619B7"/>
    <w:rsid w:val="00561A8B"/>
    <w:rsid w:val="0056327F"/>
    <w:rsid w:val="00564245"/>
    <w:rsid w:val="0056508C"/>
    <w:rsid w:val="0056522E"/>
    <w:rsid w:val="005655D6"/>
    <w:rsid w:val="00567D3D"/>
    <w:rsid w:val="00571154"/>
    <w:rsid w:val="00571DA7"/>
    <w:rsid w:val="00572070"/>
    <w:rsid w:val="005727C5"/>
    <w:rsid w:val="005728CE"/>
    <w:rsid w:val="00572CB8"/>
    <w:rsid w:val="0057451A"/>
    <w:rsid w:val="0057466A"/>
    <w:rsid w:val="00574F07"/>
    <w:rsid w:val="00575AA3"/>
    <w:rsid w:val="00576258"/>
    <w:rsid w:val="00577300"/>
    <w:rsid w:val="00580949"/>
    <w:rsid w:val="0058140E"/>
    <w:rsid w:val="00581D4F"/>
    <w:rsid w:val="00581DFA"/>
    <w:rsid w:val="005822C4"/>
    <w:rsid w:val="00582332"/>
    <w:rsid w:val="005825B8"/>
    <w:rsid w:val="005825E0"/>
    <w:rsid w:val="005833E0"/>
    <w:rsid w:val="00583CA1"/>
    <w:rsid w:val="005854BA"/>
    <w:rsid w:val="005857CA"/>
    <w:rsid w:val="00585DDC"/>
    <w:rsid w:val="00586670"/>
    <w:rsid w:val="00586AA9"/>
    <w:rsid w:val="0058754D"/>
    <w:rsid w:val="00587A89"/>
    <w:rsid w:val="00590149"/>
    <w:rsid w:val="00590755"/>
    <w:rsid w:val="00591DCC"/>
    <w:rsid w:val="00592765"/>
    <w:rsid w:val="005933EC"/>
    <w:rsid w:val="00593461"/>
    <w:rsid w:val="00594D05"/>
    <w:rsid w:val="00595289"/>
    <w:rsid w:val="005957D5"/>
    <w:rsid w:val="00595C95"/>
    <w:rsid w:val="005962D4"/>
    <w:rsid w:val="00597F21"/>
    <w:rsid w:val="005A0623"/>
    <w:rsid w:val="005A095E"/>
    <w:rsid w:val="005A0AE9"/>
    <w:rsid w:val="005A0EDB"/>
    <w:rsid w:val="005A0F20"/>
    <w:rsid w:val="005A13E8"/>
    <w:rsid w:val="005A17B2"/>
    <w:rsid w:val="005A1C89"/>
    <w:rsid w:val="005A1DDF"/>
    <w:rsid w:val="005A2662"/>
    <w:rsid w:val="005A2810"/>
    <w:rsid w:val="005A2D36"/>
    <w:rsid w:val="005A33E2"/>
    <w:rsid w:val="005A356A"/>
    <w:rsid w:val="005A3924"/>
    <w:rsid w:val="005A3FD0"/>
    <w:rsid w:val="005A4A8D"/>
    <w:rsid w:val="005A568D"/>
    <w:rsid w:val="005A5DD8"/>
    <w:rsid w:val="005A67C3"/>
    <w:rsid w:val="005A6BFD"/>
    <w:rsid w:val="005A6D34"/>
    <w:rsid w:val="005A6E0A"/>
    <w:rsid w:val="005A783B"/>
    <w:rsid w:val="005A7958"/>
    <w:rsid w:val="005A79F1"/>
    <w:rsid w:val="005B050F"/>
    <w:rsid w:val="005B0ADC"/>
    <w:rsid w:val="005B0EB0"/>
    <w:rsid w:val="005B1A3E"/>
    <w:rsid w:val="005B1CBC"/>
    <w:rsid w:val="005B1CD8"/>
    <w:rsid w:val="005B2447"/>
    <w:rsid w:val="005B2588"/>
    <w:rsid w:val="005B25C6"/>
    <w:rsid w:val="005B4A77"/>
    <w:rsid w:val="005B4B8F"/>
    <w:rsid w:val="005B4C71"/>
    <w:rsid w:val="005B51BB"/>
    <w:rsid w:val="005B57E6"/>
    <w:rsid w:val="005B72B8"/>
    <w:rsid w:val="005B7B79"/>
    <w:rsid w:val="005C0370"/>
    <w:rsid w:val="005C12E9"/>
    <w:rsid w:val="005C1605"/>
    <w:rsid w:val="005C1D33"/>
    <w:rsid w:val="005C3AC7"/>
    <w:rsid w:val="005C447C"/>
    <w:rsid w:val="005C4AAC"/>
    <w:rsid w:val="005C4EA4"/>
    <w:rsid w:val="005C55C9"/>
    <w:rsid w:val="005C5E56"/>
    <w:rsid w:val="005C65AC"/>
    <w:rsid w:val="005C729C"/>
    <w:rsid w:val="005C774B"/>
    <w:rsid w:val="005C7CAE"/>
    <w:rsid w:val="005D04F5"/>
    <w:rsid w:val="005D0C6B"/>
    <w:rsid w:val="005D0D2E"/>
    <w:rsid w:val="005D133B"/>
    <w:rsid w:val="005D190E"/>
    <w:rsid w:val="005D1BA9"/>
    <w:rsid w:val="005D1DDF"/>
    <w:rsid w:val="005D1F2E"/>
    <w:rsid w:val="005D4259"/>
    <w:rsid w:val="005D4CCB"/>
    <w:rsid w:val="005D4DB3"/>
    <w:rsid w:val="005D58A9"/>
    <w:rsid w:val="005D5FD0"/>
    <w:rsid w:val="005D66D8"/>
    <w:rsid w:val="005D6AC3"/>
    <w:rsid w:val="005D7134"/>
    <w:rsid w:val="005D730F"/>
    <w:rsid w:val="005D7A1B"/>
    <w:rsid w:val="005E0540"/>
    <w:rsid w:val="005E0723"/>
    <w:rsid w:val="005E1EC1"/>
    <w:rsid w:val="005E2127"/>
    <w:rsid w:val="005E30C6"/>
    <w:rsid w:val="005E38A7"/>
    <w:rsid w:val="005E4FA1"/>
    <w:rsid w:val="005E6C7F"/>
    <w:rsid w:val="005E7685"/>
    <w:rsid w:val="005E769A"/>
    <w:rsid w:val="005F1660"/>
    <w:rsid w:val="005F2AA0"/>
    <w:rsid w:val="005F3267"/>
    <w:rsid w:val="005F3483"/>
    <w:rsid w:val="005F3956"/>
    <w:rsid w:val="005F3F0F"/>
    <w:rsid w:val="005F46FD"/>
    <w:rsid w:val="005F4EED"/>
    <w:rsid w:val="005F5392"/>
    <w:rsid w:val="005F5854"/>
    <w:rsid w:val="005F5C6A"/>
    <w:rsid w:val="005F602C"/>
    <w:rsid w:val="005F6B58"/>
    <w:rsid w:val="005F6BEE"/>
    <w:rsid w:val="005F6E7E"/>
    <w:rsid w:val="005F760B"/>
    <w:rsid w:val="005F79AB"/>
    <w:rsid w:val="00600005"/>
    <w:rsid w:val="006000E9"/>
    <w:rsid w:val="00600220"/>
    <w:rsid w:val="006002CC"/>
    <w:rsid w:val="0060091A"/>
    <w:rsid w:val="00600A64"/>
    <w:rsid w:val="00600EAF"/>
    <w:rsid w:val="00601757"/>
    <w:rsid w:val="0060198D"/>
    <w:rsid w:val="006019C6"/>
    <w:rsid w:val="00601A13"/>
    <w:rsid w:val="00601E83"/>
    <w:rsid w:val="00602554"/>
    <w:rsid w:val="00602938"/>
    <w:rsid w:val="00603C73"/>
    <w:rsid w:val="00604471"/>
    <w:rsid w:val="006045DB"/>
    <w:rsid w:val="00605253"/>
    <w:rsid w:val="006057CF"/>
    <w:rsid w:val="006057D8"/>
    <w:rsid w:val="0060646E"/>
    <w:rsid w:val="00606EB7"/>
    <w:rsid w:val="00607024"/>
    <w:rsid w:val="00607063"/>
    <w:rsid w:val="006071AB"/>
    <w:rsid w:val="00610AD2"/>
    <w:rsid w:val="00611238"/>
    <w:rsid w:val="006117C3"/>
    <w:rsid w:val="00611A59"/>
    <w:rsid w:val="00611C6F"/>
    <w:rsid w:val="00611DBF"/>
    <w:rsid w:val="00612560"/>
    <w:rsid w:val="00612822"/>
    <w:rsid w:val="00613292"/>
    <w:rsid w:val="0061515B"/>
    <w:rsid w:val="00615233"/>
    <w:rsid w:val="0061536E"/>
    <w:rsid w:val="00616149"/>
    <w:rsid w:val="00616D89"/>
    <w:rsid w:val="006202F9"/>
    <w:rsid w:val="0062114F"/>
    <w:rsid w:val="00623745"/>
    <w:rsid w:val="00623F31"/>
    <w:rsid w:val="00624192"/>
    <w:rsid w:val="006247CA"/>
    <w:rsid w:val="00624C6F"/>
    <w:rsid w:val="00625375"/>
    <w:rsid w:val="00625A43"/>
    <w:rsid w:val="0062754C"/>
    <w:rsid w:val="006301FF"/>
    <w:rsid w:val="006318AF"/>
    <w:rsid w:val="00631ED3"/>
    <w:rsid w:val="006323D7"/>
    <w:rsid w:val="006329ED"/>
    <w:rsid w:val="00632DA6"/>
    <w:rsid w:val="006336A5"/>
    <w:rsid w:val="00633842"/>
    <w:rsid w:val="00633BFD"/>
    <w:rsid w:val="006340D8"/>
    <w:rsid w:val="006341BA"/>
    <w:rsid w:val="006344A0"/>
    <w:rsid w:val="0063600E"/>
    <w:rsid w:val="00636520"/>
    <w:rsid w:val="006374CE"/>
    <w:rsid w:val="006376DB"/>
    <w:rsid w:val="006378A9"/>
    <w:rsid w:val="0064122C"/>
    <w:rsid w:val="006415F9"/>
    <w:rsid w:val="00641865"/>
    <w:rsid w:val="00642C0B"/>
    <w:rsid w:val="00642CA1"/>
    <w:rsid w:val="006434FA"/>
    <w:rsid w:val="0064386D"/>
    <w:rsid w:val="00643AA2"/>
    <w:rsid w:val="00643BF3"/>
    <w:rsid w:val="00644953"/>
    <w:rsid w:val="00644A56"/>
    <w:rsid w:val="00644D19"/>
    <w:rsid w:val="006453A7"/>
    <w:rsid w:val="00646626"/>
    <w:rsid w:val="006466FC"/>
    <w:rsid w:val="00646B93"/>
    <w:rsid w:val="00646D3F"/>
    <w:rsid w:val="00646FA5"/>
    <w:rsid w:val="0064785F"/>
    <w:rsid w:val="00647B9E"/>
    <w:rsid w:val="006510B7"/>
    <w:rsid w:val="006513C9"/>
    <w:rsid w:val="0065210F"/>
    <w:rsid w:val="006527C7"/>
    <w:rsid w:val="00652B03"/>
    <w:rsid w:val="006533A2"/>
    <w:rsid w:val="00653454"/>
    <w:rsid w:val="00654751"/>
    <w:rsid w:val="00655417"/>
    <w:rsid w:val="006562D8"/>
    <w:rsid w:val="006569EF"/>
    <w:rsid w:val="00657FC3"/>
    <w:rsid w:val="0066001B"/>
    <w:rsid w:val="0066067E"/>
    <w:rsid w:val="006619C3"/>
    <w:rsid w:val="0066204C"/>
    <w:rsid w:val="00662AE8"/>
    <w:rsid w:val="00663288"/>
    <w:rsid w:val="00663580"/>
    <w:rsid w:val="0066384B"/>
    <w:rsid w:val="00664A54"/>
    <w:rsid w:val="00665224"/>
    <w:rsid w:val="00665F46"/>
    <w:rsid w:val="00666280"/>
    <w:rsid w:val="00666635"/>
    <w:rsid w:val="00667841"/>
    <w:rsid w:val="00667FC2"/>
    <w:rsid w:val="00670479"/>
    <w:rsid w:val="00670EBB"/>
    <w:rsid w:val="00671675"/>
    <w:rsid w:val="00671A36"/>
    <w:rsid w:val="00672615"/>
    <w:rsid w:val="00672818"/>
    <w:rsid w:val="00673684"/>
    <w:rsid w:val="00674296"/>
    <w:rsid w:val="00674563"/>
    <w:rsid w:val="00674B2C"/>
    <w:rsid w:val="00674E3A"/>
    <w:rsid w:val="00675425"/>
    <w:rsid w:val="00675DE6"/>
    <w:rsid w:val="0067667D"/>
    <w:rsid w:val="0067698F"/>
    <w:rsid w:val="00676CA5"/>
    <w:rsid w:val="00677A2D"/>
    <w:rsid w:val="00677E48"/>
    <w:rsid w:val="00680005"/>
    <w:rsid w:val="006805DB"/>
    <w:rsid w:val="0068195D"/>
    <w:rsid w:val="00682660"/>
    <w:rsid w:val="00682C7B"/>
    <w:rsid w:val="00682D63"/>
    <w:rsid w:val="006833BB"/>
    <w:rsid w:val="006834EF"/>
    <w:rsid w:val="006847FF"/>
    <w:rsid w:val="00684AA4"/>
    <w:rsid w:val="006853AF"/>
    <w:rsid w:val="0068546F"/>
    <w:rsid w:val="00685B19"/>
    <w:rsid w:val="00686BC0"/>
    <w:rsid w:val="00687E35"/>
    <w:rsid w:val="00690A62"/>
    <w:rsid w:val="00690F13"/>
    <w:rsid w:val="006915F3"/>
    <w:rsid w:val="00691E24"/>
    <w:rsid w:val="006948D6"/>
    <w:rsid w:val="00694D22"/>
    <w:rsid w:val="00695083"/>
    <w:rsid w:val="006953F2"/>
    <w:rsid w:val="00695855"/>
    <w:rsid w:val="006958B4"/>
    <w:rsid w:val="00695E3E"/>
    <w:rsid w:val="006968B5"/>
    <w:rsid w:val="00696966"/>
    <w:rsid w:val="00696BDF"/>
    <w:rsid w:val="006A0AF0"/>
    <w:rsid w:val="006A0B19"/>
    <w:rsid w:val="006A0F4C"/>
    <w:rsid w:val="006A182D"/>
    <w:rsid w:val="006A23BB"/>
    <w:rsid w:val="006A3020"/>
    <w:rsid w:val="006A327A"/>
    <w:rsid w:val="006A3382"/>
    <w:rsid w:val="006A39A9"/>
    <w:rsid w:val="006A3AA4"/>
    <w:rsid w:val="006A514D"/>
    <w:rsid w:val="006A52A1"/>
    <w:rsid w:val="006A575D"/>
    <w:rsid w:val="006A57DE"/>
    <w:rsid w:val="006A6DFC"/>
    <w:rsid w:val="006A7140"/>
    <w:rsid w:val="006A72CF"/>
    <w:rsid w:val="006A7434"/>
    <w:rsid w:val="006A79A4"/>
    <w:rsid w:val="006A7BD5"/>
    <w:rsid w:val="006B05F6"/>
    <w:rsid w:val="006B09A8"/>
    <w:rsid w:val="006B11FA"/>
    <w:rsid w:val="006B14A3"/>
    <w:rsid w:val="006B1642"/>
    <w:rsid w:val="006B16A8"/>
    <w:rsid w:val="006B1756"/>
    <w:rsid w:val="006B2B3F"/>
    <w:rsid w:val="006B2E02"/>
    <w:rsid w:val="006B2FDB"/>
    <w:rsid w:val="006B3093"/>
    <w:rsid w:val="006B33DD"/>
    <w:rsid w:val="006B363F"/>
    <w:rsid w:val="006B3828"/>
    <w:rsid w:val="006B3980"/>
    <w:rsid w:val="006B3F56"/>
    <w:rsid w:val="006B5EDB"/>
    <w:rsid w:val="006B603D"/>
    <w:rsid w:val="006B6792"/>
    <w:rsid w:val="006B7CE0"/>
    <w:rsid w:val="006B7D42"/>
    <w:rsid w:val="006B7F63"/>
    <w:rsid w:val="006C098C"/>
    <w:rsid w:val="006C1623"/>
    <w:rsid w:val="006C1CA6"/>
    <w:rsid w:val="006C2170"/>
    <w:rsid w:val="006C22D2"/>
    <w:rsid w:val="006C3373"/>
    <w:rsid w:val="006C37A7"/>
    <w:rsid w:val="006C3B64"/>
    <w:rsid w:val="006C3E27"/>
    <w:rsid w:val="006C4323"/>
    <w:rsid w:val="006C4C16"/>
    <w:rsid w:val="006C57F5"/>
    <w:rsid w:val="006C599F"/>
    <w:rsid w:val="006C5A04"/>
    <w:rsid w:val="006C5B70"/>
    <w:rsid w:val="006C5E80"/>
    <w:rsid w:val="006C628E"/>
    <w:rsid w:val="006C6A53"/>
    <w:rsid w:val="006C70FC"/>
    <w:rsid w:val="006C7FB6"/>
    <w:rsid w:val="006D1075"/>
    <w:rsid w:val="006D1096"/>
    <w:rsid w:val="006D12E8"/>
    <w:rsid w:val="006D170F"/>
    <w:rsid w:val="006D1E61"/>
    <w:rsid w:val="006D1F01"/>
    <w:rsid w:val="006D2032"/>
    <w:rsid w:val="006D3541"/>
    <w:rsid w:val="006D40F5"/>
    <w:rsid w:val="006D4229"/>
    <w:rsid w:val="006D4672"/>
    <w:rsid w:val="006D4740"/>
    <w:rsid w:val="006D54F6"/>
    <w:rsid w:val="006D5E65"/>
    <w:rsid w:val="006D6009"/>
    <w:rsid w:val="006D637F"/>
    <w:rsid w:val="006D63A6"/>
    <w:rsid w:val="006D68CA"/>
    <w:rsid w:val="006E2D30"/>
    <w:rsid w:val="006E333D"/>
    <w:rsid w:val="006E37D7"/>
    <w:rsid w:val="006E3F78"/>
    <w:rsid w:val="006E4E56"/>
    <w:rsid w:val="006E4FA4"/>
    <w:rsid w:val="006E7441"/>
    <w:rsid w:val="006E74B4"/>
    <w:rsid w:val="006F035A"/>
    <w:rsid w:val="006F13E5"/>
    <w:rsid w:val="006F18D3"/>
    <w:rsid w:val="006F19D7"/>
    <w:rsid w:val="006F1B8B"/>
    <w:rsid w:val="006F2327"/>
    <w:rsid w:val="006F237E"/>
    <w:rsid w:val="006F357F"/>
    <w:rsid w:val="006F3743"/>
    <w:rsid w:val="006F3EB7"/>
    <w:rsid w:val="006F4EDD"/>
    <w:rsid w:val="006F4F1B"/>
    <w:rsid w:val="006F5B1C"/>
    <w:rsid w:val="006F64E9"/>
    <w:rsid w:val="006F6AA1"/>
    <w:rsid w:val="006F74D7"/>
    <w:rsid w:val="007002EE"/>
    <w:rsid w:val="007011C5"/>
    <w:rsid w:val="00701819"/>
    <w:rsid w:val="007030DB"/>
    <w:rsid w:val="00703CFD"/>
    <w:rsid w:val="00704DD1"/>
    <w:rsid w:val="007052EB"/>
    <w:rsid w:val="00705BE0"/>
    <w:rsid w:val="00706D22"/>
    <w:rsid w:val="00707573"/>
    <w:rsid w:val="007103D3"/>
    <w:rsid w:val="007113D3"/>
    <w:rsid w:val="00711563"/>
    <w:rsid w:val="00712EE5"/>
    <w:rsid w:val="007130C8"/>
    <w:rsid w:val="00713BF7"/>
    <w:rsid w:val="007141B8"/>
    <w:rsid w:val="00714353"/>
    <w:rsid w:val="0071454D"/>
    <w:rsid w:val="00714A84"/>
    <w:rsid w:val="00714B30"/>
    <w:rsid w:val="00714EBB"/>
    <w:rsid w:val="0071542B"/>
    <w:rsid w:val="00715DF1"/>
    <w:rsid w:val="00716174"/>
    <w:rsid w:val="00716FA2"/>
    <w:rsid w:val="0071777D"/>
    <w:rsid w:val="00720136"/>
    <w:rsid w:val="0072025F"/>
    <w:rsid w:val="00720325"/>
    <w:rsid w:val="00720BAF"/>
    <w:rsid w:val="00720E7A"/>
    <w:rsid w:val="00720F7C"/>
    <w:rsid w:val="00721740"/>
    <w:rsid w:val="00722855"/>
    <w:rsid w:val="00722C3F"/>
    <w:rsid w:val="007256E0"/>
    <w:rsid w:val="00726999"/>
    <w:rsid w:val="00726A33"/>
    <w:rsid w:val="00726C31"/>
    <w:rsid w:val="00727C93"/>
    <w:rsid w:val="00727DF3"/>
    <w:rsid w:val="0073044B"/>
    <w:rsid w:val="0073127A"/>
    <w:rsid w:val="0073151E"/>
    <w:rsid w:val="00731A76"/>
    <w:rsid w:val="00731C88"/>
    <w:rsid w:val="00731CBE"/>
    <w:rsid w:val="00731CF7"/>
    <w:rsid w:val="00731DEA"/>
    <w:rsid w:val="00731E15"/>
    <w:rsid w:val="00731FC5"/>
    <w:rsid w:val="007335D0"/>
    <w:rsid w:val="007339B2"/>
    <w:rsid w:val="0073421E"/>
    <w:rsid w:val="00734276"/>
    <w:rsid w:val="00734C30"/>
    <w:rsid w:val="00737884"/>
    <w:rsid w:val="00737A25"/>
    <w:rsid w:val="00737B72"/>
    <w:rsid w:val="00737C48"/>
    <w:rsid w:val="007402DE"/>
    <w:rsid w:val="007405F3"/>
    <w:rsid w:val="007406CB"/>
    <w:rsid w:val="00740E48"/>
    <w:rsid w:val="007411DC"/>
    <w:rsid w:val="007416D3"/>
    <w:rsid w:val="0074198B"/>
    <w:rsid w:val="007424DD"/>
    <w:rsid w:val="0074290D"/>
    <w:rsid w:val="00743804"/>
    <w:rsid w:val="00743B70"/>
    <w:rsid w:val="00744349"/>
    <w:rsid w:val="00744C6D"/>
    <w:rsid w:val="00744FBF"/>
    <w:rsid w:val="00745954"/>
    <w:rsid w:val="00745C04"/>
    <w:rsid w:val="00746639"/>
    <w:rsid w:val="00746D88"/>
    <w:rsid w:val="0074757E"/>
    <w:rsid w:val="00747F82"/>
    <w:rsid w:val="0075033A"/>
    <w:rsid w:val="0075090B"/>
    <w:rsid w:val="00750987"/>
    <w:rsid w:val="00752CA1"/>
    <w:rsid w:val="00752E07"/>
    <w:rsid w:val="00752E40"/>
    <w:rsid w:val="00752F36"/>
    <w:rsid w:val="00753010"/>
    <w:rsid w:val="00753294"/>
    <w:rsid w:val="007532E8"/>
    <w:rsid w:val="0075375D"/>
    <w:rsid w:val="0075496D"/>
    <w:rsid w:val="00755674"/>
    <w:rsid w:val="00755BA8"/>
    <w:rsid w:val="00756472"/>
    <w:rsid w:val="0075653A"/>
    <w:rsid w:val="0076131C"/>
    <w:rsid w:val="0076171D"/>
    <w:rsid w:val="007625F2"/>
    <w:rsid w:val="007629D9"/>
    <w:rsid w:val="00762D65"/>
    <w:rsid w:val="00763DB2"/>
    <w:rsid w:val="007644FC"/>
    <w:rsid w:val="00764626"/>
    <w:rsid w:val="00765445"/>
    <w:rsid w:val="0076548D"/>
    <w:rsid w:val="007659B8"/>
    <w:rsid w:val="0076608A"/>
    <w:rsid w:val="00766D43"/>
    <w:rsid w:val="00767817"/>
    <w:rsid w:val="00767949"/>
    <w:rsid w:val="007701AA"/>
    <w:rsid w:val="007705F3"/>
    <w:rsid w:val="00770F36"/>
    <w:rsid w:val="0077157C"/>
    <w:rsid w:val="0077169C"/>
    <w:rsid w:val="00771829"/>
    <w:rsid w:val="00771E92"/>
    <w:rsid w:val="00772229"/>
    <w:rsid w:val="0077228D"/>
    <w:rsid w:val="00772586"/>
    <w:rsid w:val="0077263B"/>
    <w:rsid w:val="00773335"/>
    <w:rsid w:val="00773FF4"/>
    <w:rsid w:val="00775C9A"/>
    <w:rsid w:val="007766E2"/>
    <w:rsid w:val="007768EE"/>
    <w:rsid w:val="007769E7"/>
    <w:rsid w:val="00780282"/>
    <w:rsid w:val="007803DF"/>
    <w:rsid w:val="00781139"/>
    <w:rsid w:val="00781658"/>
    <w:rsid w:val="00782764"/>
    <w:rsid w:val="00782E63"/>
    <w:rsid w:val="0078383E"/>
    <w:rsid w:val="00783989"/>
    <w:rsid w:val="00784A12"/>
    <w:rsid w:val="0078576E"/>
    <w:rsid w:val="0078693E"/>
    <w:rsid w:val="00787100"/>
    <w:rsid w:val="00790CE2"/>
    <w:rsid w:val="00791062"/>
    <w:rsid w:val="007910C7"/>
    <w:rsid w:val="007913A6"/>
    <w:rsid w:val="007914C7"/>
    <w:rsid w:val="0079181B"/>
    <w:rsid w:val="00791A13"/>
    <w:rsid w:val="00791DA1"/>
    <w:rsid w:val="007920B2"/>
    <w:rsid w:val="00792293"/>
    <w:rsid w:val="00792912"/>
    <w:rsid w:val="00792965"/>
    <w:rsid w:val="007939A7"/>
    <w:rsid w:val="00794878"/>
    <w:rsid w:val="00794D3D"/>
    <w:rsid w:val="00795B8F"/>
    <w:rsid w:val="00795BD2"/>
    <w:rsid w:val="00796070"/>
    <w:rsid w:val="0079650A"/>
    <w:rsid w:val="0079652B"/>
    <w:rsid w:val="007973EF"/>
    <w:rsid w:val="007A02A0"/>
    <w:rsid w:val="007A0CE2"/>
    <w:rsid w:val="007A1913"/>
    <w:rsid w:val="007A29DE"/>
    <w:rsid w:val="007A3740"/>
    <w:rsid w:val="007A40EF"/>
    <w:rsid w:val="007A4805"/>
    <w:rsid w:val="007A51FB"/>
    <w:rsid w:val="007A5DA4"/>
    <w:rsid w:val="007A5FDE"/>
    <w:rsid w:val="007A65E3"/>
    <w:rsid w:val="007A73FC"/>
    <w:rsid w:val="007B0799"/>
    <w:rsid w:val="007B1A62"/>
    <w:rsid w:val="007B1CD8"/>
    <w:rsid w:val="007B1FA1"/>
    <w:rsid w:val="007B2190"/>
    <w:rsid w:val="007B21DE"/>
    <w:rsid w:val="007B273E"/>
    <w:rsid w:val="007B3547"/>
    <w:rsid w:val="007B45B6"/>
    <w:rsid w:val="007B6526"/>
    <w:rsid w:val="007B6BF1"/>
    <w:rsid w:val="007B723C"/>
    <w:rsid w:val="007B7425"/>
    <w:rsid w:val="007B75FE"/>
    <w:rsid w:val="007B7638"/>
    <w:rsid w:val="007B79F7"/>
    <w:rsid w:val="007C0252"/>
    <w:rsid w:val="007C073A"/>
    <w:rsid w:val="007C0FD8"/>
    <w:rsid w:val="007C1205"/>
    <w:rsid w:val="007C1CA8"/>
    <w:rsid w:val="007C25C2"/>
    <w:rsid w:val="007C289A"/>
    <w:rsid w:val="007C2931"/>
    <w:rsid w:val="007C307B"/>
    <w:rsid w:val="007C3768"/>
    <w:rsid w:val="007C4B32"/>
    <w:rsid w:val="007C5212"/>
    <w:rsid w:val="007C54AC"/>
    <w:rsid w:val="007C58A1"/>
    <w:rsid w:val="007C6002"/>
    <w:rsid w:val="007C62AA"/>
    <w:rsid w:val="007C6927"/>
    <w:rsid w:val="007C6AEC"/>
    <w:rsid w:val="007D04DC"/>
    <w:rsid w:val="007D08B7"/>
    <w:rsid w:val="007D0DBE"/>
    <w:rsid w:val="007D0FEE"/>
    <w:rsid w:val="007D18AD"/>
    <w:rsid w:val="007D1C7D"/>
    <w:rsid w:val="007D2DB4"/>
    <w:rsid w:val="007D3683"/>
    <w:rsid w:val="007D3CBC"/>
    <w:rsid w:val="007D4D48"/>
    <w:rsid w:val="007D4D4A"/>
    <w:rsid w:val="007D54EE"/>
    <w:rsid w:val="007D5EC5"/>
    <w:rsid w:val="007D69B6"/>
    <w:rsid w:val="007D6D8A"/>
    <w:rsid w:val="007E0C22"/>
    <w:rsid w:val="007E1F84"/>
    <w:rsid w:val="007E2C7E"/>
    <w:rsid w:val="007E482A"/>
    <w:rsid w:val="007E4B46"/>
    <w:rsid w:val="007E5507"/>
    <w:rsid w:val="007E55A2"/>
    <w:rsid w:val="007E6E04"/>
    <w:rsid w:val="007E6F31"/>
    <w:rsid w:val="007E7443"/>
    <w:rsid w:val="007F0201"/>
    <w:rsid w:val="007F0A0A"/>
    <w:rsid w:val="007F2F9B"/>
    <w:rsid w:val="007F3D76"/>
    <w:rsid w:val="007F4F71"/>
    <w:rsid w:val="007F656A"/>
    <w:rsid w:val="008000F2"/>
    <w:rsid w:val="008003D9"/>
    <w:rsid w:val="00801157"/>
    <w:rsid w:val="00801665"/>
    <w:rsid w:val="00801EB9"/>
    <w:rsid w:val="00802A7D"/>
    <w:rsid w:val="00802ECB"/>
    <w:rsid w:val="00802FD7"/>
    <w:rsid w:val="008030BF"/>
    <w:rsid w:val="00803F1D"/>
    <w:rsid w:val="00803FD3"/>
    <w:rsid w:val="00804177"/>
    <w:rsid w:val="00804326"/>
    <w:rsid w:val="00804ADA"/>
    <w:rsid w:val="00804BC9"/>
    <w:rsid w:val="0080537C"/>
    <w:rsid w:val="0080576F"/>
    <w:rsid w:val="00806454"/>
    <w:rsid w:val="008072AA"/>
    <w:rsid w:val="00807865"/>
    <w:rsid w:val="008101DD"/>
    <w:rsid w:val="0081096D"/>
    <w:rsid w:val="00810B6B"/>
    <w:rsid w:val="00810D88"/>
    <w:rsid w:val="00811EA3"/>
    <w:rsid w:val="00812C3B"/>
    <w:rsid w:val="00812C66"/>
    <w:rsid w:val="00812CA8"/>
    <w:rsid w:val="00814C96"/>
    <w:rsid w:val="00815345"/>
    <w:rsid w:val="008158E7"/>
    <w:rsid w:val="00815C81"/>
    <w:rsid w:val="00815F41"/>
    <w:rsid w:val="0081669C"/>
    <w:rsid w:val="00816AB6"/>
    <w:rsid w:val="008170A1"/>
    <w:rsid w:val="00817457"/>
    <w:rsid w:val="00817A8D"/>
    <w:rsid w:val="00817F0F"/>
    <w:rsid w:val="008208FC"/>
    <w:rsid w:val="008213C5"/>
    <w:rsid w:val="00821896"/>
    <w:rsid w:val="00822099"/>
    <w:rsid w:val="008229F4"/>
    <w:rsid w:val="008233AA"/>
    <w:rsid w:val="008234D9"/>
    <w:rsid w:val="0082386F"/>
    <w:rsid w:val="00825612"/>
    <w:rsid w:val="00826C26"/>
    <w:rsid w:val="00826D1B"/>
    <w:rsid w:val="00827042"/>
    <w:rsid w:val="00827BCF"/>
    <w:rsid w:val="00827CFB"/>
    <w:rsid w:val="00830612"/>
    <w:rsid w:val="008311AC"/>
    <w:rsid w:val="00831526"/>
    <w:rsid w:val="00831C3D"/>
    <w:rsid w:val="00832929"/>
    <w:rsid w:val="00832986"/>
    <w:rsid w:val="00833969"/>
    <w:rsid w:val="00833CB2"/>
    <w:rsid w:val="0083499D"/>
    <w:rsid w:val="00834D9B"/>
    <w:rsid w:val="00835A13"/>
    <w:rsid w:val="00835BEE"/>
    <w:rsid w:val="00835F01"/>
    <w:rsid w:val="00835FA9"/>
    <w:rsid w:val="00836EFA"/>
    <w:rsid w:val="00837AAA"/>
    <w:rsid w:val="00837D06"/>
    <w:rsid w:val="0084008C"/>
    <w:rsid w:val="008403C6"/>
    <w:rsid w:val="008407F9"/>
    <w:rsid w:val="00840BCF"/>
    <w:rsid w:val="00840E25"/>
    <w:rsid w:val="00841293"/>
    <w:rsid w:val="00841860"/>
    <w:rsid w:val="00841AEB"/>
    <w:rsid w:val="00841FCF"/>
    <w:rsid w:val="0084279E"/>
    <w:rsid w:val="00843E4A"/>
    <w:rsid w:val="00845B51"/>
    <w:rsid w:val="00845BFC"/>
    <w:rsid w:val="00846CCC"/>
    <w:rsid w:val="008473B3"/>
    <w:rsid w:val="0084782B"/>
    <w:rsid w:val="00847FFA"/>
    <w:rsid w:val="0085093C"/>
    <w:rsid w:val="00850FA5"/>
    <w:rsid w:val="00851138"/>
    <w:rsid w:val="0085273E"/>
    <w:rsid w:val="0085378E"/>
    <w:rsid w:val="00853EF2"/>
    <w:rsid w:val="00854632"/>
    <w:rsid w:val="00854670"/>
    <w:rsid w:val="00854A96"/>
    <w:rsid w:val="00855161"/>
    <w:rsid w:val="008552A7"/>
    <w:rsid w:val="0085573F"/>
    <w:rsid w:val="00856359"/>
    <w:rsid w:val="008563BA"/>
    <w:rsid w:val="0085711C"/>
    <w:rsid w:val="008573E5"/>
    <w:rsid w:val="0085755E"/>
    <w:rsid w:val="00860289"/>
    <w:rsid w:val="008614AC"/>
    <w:rsid w:val="00861D80"/>
    <w:rsid w:val="008623AF"/>
    <w:rsid w:val="008628E7"/>
    <w:rsid w:val="00863CE8"/>
    <w:rsid w:val="00865023"/>
    <w:rsid w:val="0086515C"/>
    <w:rsid w:val="00865171"/>
    <w:rsid w:val="008655D0"/>
    <w:rsid w:val="008668CA"/>
    <w:rsid w:val="00866F40"/>
    <w:rsid w:val="008673CC"/>
    <w:rsid w:val="00867A53"/>
    <w:rsid w:val="00867DE3"/>
    <w:rsid w:val="008706D5"/>
    <w:rsid w:val="008712A4"/>
    <w:rsid w:val="00871464"/>
    <w:rsid w:val="00871B2C"/>
    <w:rsid w:val="0087220E"/>
    <w:rsid w:val="008727FD"/>
    <w:rsid w:val="008739E0"/>
    <w:rsid w:val="00873B30"/>
    <w:rsid w:val="008740BC"/>
    <w:rsid w:val="00874230"/>
    <w:rsid w:val="00874414"/>
    <w:rsid w:val="00874679"/>
    <w:rsid w:val="008746C4"/>
    <w:rsid w:val="0087478F"/>
    <w:rsid w:val="00874E3D"/>
    <w:rsid w:val="00876258"/>
    <w:rsid w:val="00876297"/>
    <w:rsid w:val="00876EE6"/>
    <w:rsid w:val="008777DE"/>
    <w:rsid w:val="00877D9F"/>
    <w:rsid w:val="00880081"/>
    <w:rsid w:val="0088016D"/>
    <w:rsid w:val="00880B19"/>
    <w:rsid w:val="00880E1C"/>
    <w:rsid w:val="008810EC"/>
    <w:rsid w:val="00882369"/>
    <w:rsid w:val="00884760"/>
    <w:rsid w:val="00884F4D"/>
    <w:rsid w:val="00885F36"/>
    <w:rsid w:val="00887FD5"/>
    <w:rsid w:val="00890437"/>
    <w:rsid w:val="00890978"/>
    <w:rsid w:val="00890D06"/>
    <w:rsid w:val="00890D8F"/>
    <w:rsid w:val="00890E20"/>
    <w:rsid w:val="00891BE3"/>
    <w:rsid w:val="00892631"/>
    <w:rsid w:val="00892904"/>
    <w:rsid w:val="00893705"/>
    <w:rsid w:val="00893D31"/>
    <w:rsid w:val="00894305"/>
    <w:rsid w:val="0089490A"/>
    <w:rsid w:val="00894D27"/>
    <w:rsid w:val="00894D4C"/>
    <w:rsid w:val="008953AB"/>
    <w:rsid w:val="0089583B"/>
    <w:rsid w:val="00895A63"/>
    <w:rsid w:val="00895EB3"/>
    <w:rsid w:val="00896507"/>
    <w:rsid w:val="00896F55"/>
    <w:rsid w:val="008971CA"/>
    <w:rsid w:val="008978F7"/>
    <w:rsid w:val="008A1332"/>
    <w:rsid w:val="008A1A2E"/>
    <w:rsid w:val="008A22E7"/>
    <w:rsid w:val="008A24D0"/>
    <w:rsid w:val="008A269C"/>
    <w:rsid w:val="008A2EAE"/>
    <w:rsid w:val="008A3113"/>
    <w:rsid w:val="008A396F"/>
    <w:rsid w:val="008A59CF"/>
    <w:rsid w:val="008A7057"/>
    <w:rsid w:val="008A7673"/>
    <w:rsid w:val="008A7CEB"/>
    <w:rsid w:val="008B026F"/>
    <w:rsid w:val="008B1CDB"/>
    <w:rsid w:val="008B257B"/>
    <w:rsid w:val="008B2765"/>
    <w:rsid w:val="008B2E87"/>
    <w:rsid w:val="008B2EEC"/>
    <w:rsid w:val="008B4A3F"/>
    <w:rsid w:val="008B4F1A"/>
    <w:rsid w:val="008B545B"/>
    <w:rsid w:val="008B6054"/>
    <w:rsid w:val="008B61F7"/>
    <w:rsid w:val="008B68BB"/>
    <w:rsid w:val="008B6C67"/>
    <w:rsid w:val="008B7783"/>
    <w:rsid w:val="008C0EF9"/>
    <w:rsid w:val="008C255A"/>
    <w:rsid w:val="008C2F1D"/>
    <w:rsid w:val="008C4FC5"/>
    <w:rsid w:val="008C52E3"/>
    <w:rsid w:val="008C5636"/>
    <w:rsid w:val="008C5B5A"/>
    <w:rsid w:val="008D05CA"/>
    <w:rsid w:val="008D060A"/>
    <w:rsid w:val="008D1319"/>
    <w:rsid w:val="008D1717"/>
    <w:rsid w:val="008D1FA5"/>
    <w:rsid w:val="008D2EDA"/>
    <w:rsid w:val="008D3924"/>
    <w:rsid w:val="008D50E5"/>
    <w:rsid w:val="008D56CE"/>
    <w:rsid w:val="008D5970"/>
    <w:rsid w:val="008D5EBB"/>
    <w:rsid w:val="008D671D"/>
    <w:rsid w:val="008D6CC2"/>
    <w:rsid w:val="008D75B9"/>
    <w:rsid w:val="008D7C6D"/>
    <w:rsid w:val="008E0031"/>
    <w:rsid w:val="008E0062"/>
    <w:rsid w:val="008E0559"/>
    <w:rsid w:val="008E0C6C"/>
    <w:rsid w:val="008E0CFD"/>
    <w:rsid w:val="008E115E"/>
    <w:rsid w:val="008E3D76"/>
    <w:rsid w:val="008E445B"/>
    <w:rsid w:val="008E47E5"/>
    <w:rsid w:val="008E4C7B"/>
    <w:rsid w:val="008E594E"/>
    <w:rsid w:val="008E59C4"/>
    <w:rsid w:val="008E5BC9"/>
    <w:rsid w:val="008E6967"/>
    <w:rsid w:val="008E7D83"/>
    <w:rsid w:val="008F0606"/>
    <w:rsid w:val="008F2CDD"/>
    <w:rsid w:val="008F405A"/>
    <w:rsid w:val="008F549E"/>
    <w:rsid w:val="008F55D4"/>
    <w:rsid w:val="008F579F"/>
    <w:rsid w:val="008F6476"/>
    <w:rsid w:val="008F7672"/>
    <w:rsid w:val="008F7741"/>
    <w:rsid w:val="008F78C2"/>
    <w:rsid w:val="00900698"/>
    <w:rsid w:val="00900CD9"/>
    <w:rsid w:val="0090129E"/>
    <w:rsid w:val="0090131C"/>
    <w:rsid w:val="00901782"/>
    <w:rsid w:val="00901907"/>
    <w:rsid w:val="009037AE"/>
    <w:rsid w:val="00904152"/>
    <w:rsid w:val="00904D76"/>
    <w:rsid w:val="00904F9B"/>
    <w:rsid w:val="00905128"/>
    <w:rsid w:val="00906279"/>
    <w:rsid w:val="00906A51"/>
    <w:rsid w:val="00906F3B"/>
    <w:rsid w:val="009079E0"/>
    <w:rsid w:val="00907B36"/>
    <w:rsid w:val="0091014D"/>
    <w:rsid w:val="0091132B"/>
    <w:rsid w:val="009114A0"/>
    <w:rsid w:val="009114D9"/>
    <w:rsid w:val="0091184D"/>
    <w:rsid w:val="00911859"/>
    <w:rsid w:val="0091191C"/>
    <w:rsid w:val="0091360B"/>
    <w:rsid w:val="009143F8"/>
    <w:rsid w:val="00914A7C"/>
    <w:rsid w:val="00914A86"/>
    <w:rsid w:val="00914C49"/>
    <w:rsid w:val="00914CB5"/>
    <w:rsid w:val="00916613"/>
    <w:rsid w:val="0091681A"/>
    <w:rsid w:val="00917699"/>
    <w:rsid w:val="0092198C"/>
    <w:rsid w:val="00921F07"/>
    <w:rsid w:val="009234F2"/>
    <w:rsid w:val="009238EB"/>
    <w:rsid w:val="00923EA5"/>
    <w:rsid w:val="0092442B"/>
    <w:rsid w:val="0092466D"/>
    <w:rsid w:val="00924802"/>
    <w:rsid w:val="0092507B"/>
    <w:rsid w:val="00925C0D"/>
    <w:rsid w:val="009269C0"/>
    <w:rsid w:val="00926DCB"/>
    <w:rsid w:val="00926EEA"/>
    <w:rsid w:val="00926F40"/>
    <w:rsid w:val="0092744A"/>
    <w:rsid w:val="00927B4D"/>
    <w:rsid w:val="00927C74"/>
    <w:rsid w:val="00927DB0"/>
    <w:rsid w:val="00927E91"/>
    <w:rsid w:val="00927FD8"/>
    <w:rsid w:val="00930C78"/>
    <w:rsid w:val="009314CA"/>
    <w:rsid w:val="00931DB8"/>
    <w:rsid w:val="00932820"/>
    <w:rsid w:val="00932E7C"/>
    <w:rsid w:val="00933AB7"/>
    <w:rsid w:val="009341BE"/>
    <w:rsid w:val="0093471F"/>
    <w:rsid w:val="00934C37"/>
    <w:rsid w:val="00935962"/>
    <w:rsid w:val="00936727"/>
    <w:rsid w:val="00936A7A"/>
    <w:rsid w:val="00937B11"/>
    <w:rsid w:val="00937D20"/>
    <w:rsid w:val="00940179"/>
    <w:rsid w:val="009409E5"/>
    <w:rsid w:val="009411A4"/>
    <w:rsid w:val="009414F3"/>
    <w:rsid w:val="00941FCB"/>
    <w:rsid w:val="009429DE"/>
    <w:rsid w:val="009458A8"/>
    <w:rsid w:val="00945E8F"/>
    <w:rsid w:val="009460DB"/>
    <w:rsid w:val="00946EE0"/>
    <w:rsid w:val="009471E7"/>
    <w:rsid w:val="00947AFA"/>
    <w:rsid w:val="009519D0"/>
    <w:rsid w:val="00951E6D"/>
    <w:rsid w:val="0095257D"/>
    <w:rsid w:val="00952FC6"/>
    <w:rsid w:val="0095367C"/>
    <w:rsid w:val="009540F8"/>
    <w:rsid w:val="009542A6"/>
    <w:rsid w:val="009548D9"/>
    <w:rsid w:val="00955D50"/>
    <w:rsid w:val="009563A8"/>
    <w:rsid w:val="009608EE"/>
    <w:rsid w:val="00961042"/>
    <w:rsid w:val="009610D4"/>
    <w:rsid w:val="0096136A"/>
    <w:rsid w:val="0096164A"/>
    <w:rsid w:val="00961CB0"/>
    <w:rsid w:val="00962004"/>
    <w:rsid w:val="0096227B"/>
    <w:rsid w:val="00962BA0"/>
    <w:rsid w:val="00962E5C"/>
    <w:rsid w:val="00962E7A"/>
    <w:rsid w:val="00963A36"/>
    <w:rsid w:val="00963D32"/>
    <w:rsid w:val="0096462A"/>
    <w:rsid w:val="009658BE"/>
    <w:rsid w:val="009669B0"/>
    <w:rsid w:val="00967B92"/>
    <w:rsid w:val="009707F3"/>
    <w:rsid w:val="00971DF7"/>
    <w:rsid w:val="00971EEB"/>
    <w:rsid w:val="00972CF8"/>
    <w:rsid w:val="0097336A"/>
    <w:rsid w:val="009735E8"/>
    <w:rsid w:val="009748E4"/>
    <w:rsid w:val="00974A9E"/>
    <w:rsid w:val="00975803"/>
    <w:rsid w:val="00975B4A"/>
    <w:rsid w:val="00975E3B"/>
    <w:rsid w:val="00976234"/>
    <w:rsid w:val="00977176"/>
    <w:rsid w:val="009810C7"/>
    <w:rsid w:val="0098163F"/>
    <w:rsid w:val="0098179F"/>
    <w:rsid w:val="00982366"/>
    <w:rsid w:val="00982610"/>
    <w:rsid w:val="009829EC"/>
    <w:rsid w:val="00982EBC"/>
    <w:rsid w:val="00983700"/>
    <w:rsid w:val="00983C76"/>
    <w:rsid w:val="009847CA"/>
    <w:rsid w:val="00984EF4"/>
    <w:rsid w:val="00985771"/>
    <w:rsid w:val="00986992"/>
    <w:rsid w:val="00987669"/>
    <w:rsid w:val="00990EA0"/>
    <w:rsid w:val="00991752"/>
    <w:rsid w:val="00991F37"/>
    <w:rsid w:val="00992AB0"/>
    <w:rsid w:val="009932B8"/>
    <w:rsid w:val="00993817"/>
    <w:rsid w:val="00993D36"/>
    <w:rsid w:val="00994337"/>
    <w:rsid w:val="0099552B"/>
    <w:rsid w:val="00995677"/>
    <w:rsid w:val="00995B94"/>
    <w:rsid w:val="00996522"/>
    <w:rsid w:val="0099660D"/>
    <w:rsid w:val="00996684"/>
    <w:rsid w:val="009970B9"/>
    <w:rsid w:val="009A156B"/>
    <w:rsid w:val="009A1D18"/>
    <w:rsid w:val="009A23FB"/>
    <w:rsid w:val="009A26CE"/>
    <w:rsid w:val="009A32E5"/>
    <w:rsid w:val="009A37E2"/>
    <w:rsid w:val="009A40AF"/>
    <w:rsid w:val="009A411F"/>
    <w:rsid w:val="009A59C8"/>
    <w:rsid w:val="009A5A56"/>
    <w:rsid w:val="009A5E13"/>
    <w:rsid w:val="009A6CBA"/>
    <w:rsid w:val="009A6F51"/>
    <w:rsid w:val="009A7EE2"/>
    <w:rsid w:val="009B00E8"/>
    <w:rsid w:val="009B0544"/>
    <w:rsid w:val="009B150C"/>
    <w:rsid w:val="009B1C3C"/>
    <w:rsid w:val="009B2159"/>
    <w:rsid w:val="009B2A53"/>
    <w:rsid w:val="009B2C05"/>
    <w:rsid w:val="009B3749"/>
    <w:rsid w:val="009B3B6D"/>
    <w:rsid w:val="009B4D53"/>
    <w:rsid w:val="009B59D8"/>
    <w:rsid w:val="009B7862"/>
    <w:rsid w:val="009B7CBC"/>
    <w:rsid w:val="009C03C9"/>
    <w:rsid w:val="009C13BF"/>
    <w:rsid w:val="009C1E2F"/>
    <w:rsid w:val="009C1EAA"/>
    <w:rsid w:val="009C2B14"/>
    <w:rsid w:val="009C3056"/>
    <w:rsid w:val="009C3254"/>
    <w:rsid w:val="009C4B29"/>
    <w:rsid w:val="009C5C9C"/>
    <w:rsid w:val="009C5EDA"/>
    <w:rsid w:val="009C610A"/>
    <w:rsid w:val="009C635F"/>
    <w:rsid w:val="009C6859"/>
    <w:rsid w:val="009C6AC9"/>
    <w:rsid w:val="009C6D13"/>
    <w:rsid w:val="009C77D5"/>
    <w:rsid w:val="009D00D1"/>
    <w:rsid w:val="009D07D6"/>
    <w:rsid w:val="009D25A1"/>
    <w:rsid w:val="009D25AC"/>
    <w:rsid w:val="009D2CE9"/>
    <w:rsid w:val="009D36E0"/>
    <w:rsid w:val="009D3A34"/>
    <w:rsid w:val="009D3A83"/>
    <w:rsid w:val="009D4333"/>
    <w:rsid w:val="009D5599"/>
    <w:rsid w:val="009D5E84"/>
    <w:rsid w:val="009D61BD"/>
    <w:rsid w:val="009D62DB"/>
    <w:rsid w:val="009D681C"/>
    <w:rsid w:val="009D68D4"/>
    <w:rsid w:val="009D6A5F"/>
    <w:rsid w:val="009D6EE3"/>
    <w:rsid w:val="009D7963"/>
    <w:rsid w:val="009E1530"/>
    <w:rsid w:val="009E161A"/>
    <w:rsid w:val="009E1C76"/>
    <w:rsid w:val="009E21F9"/>
    <w:rsid w:val="009E2C78"/>
    <w:rsid w:val="009E367E"/>
    <w:rsid w:val="009E3870"/>
    <w:rsid w:val="009E38B3"/>
    <w:rsid w:val="009E4B90"/>
    <w:rsid w:val="009E4CC2"/>
    <w:rsid w:val="009E6A8C"/>
    <w:rsid w:val="009E748A"/>
    <w:rsid w:val="009E7BDF"/>
    <w:rsid w:val="009F0347"/>
    <w:rsid w:val="009F0616"/>
    <w:rsid w:val="009F0675"/>
    <w:rsid w:val="009F1BDF"/>
    <w:rsid w:val="009F24A7"/>
    <w:rsid w:val="009F507D"/>
    <w:rsid w:val="009F51C7"/>
    <w:rsid w:val="009F5329"/>
    <w:rsid w:val="009F54DA"/>
    <w:rsid w:val="009F55ED"/>
    <w:rsid w:val="009F616D"/>
    <w:rsid w:val="009F639B"/>
    <w:rsid w:val="009F640D"/>
    <w:rsid w:val="009F6922"/>
    <w:rsid w:val="009F6C49"/>
    <w:rsid w:val="009F7DE7"/>
    <w:rsid w:val="009F7F2E"/>
    <w:rsid w:val="00A00079"/>
    <w:rsid w:val="00A006FF"/>
    <w:rsid w:val="00A016F0"/>
    <w:rsid w:val="00A0262F"/>
    <w:rsid w:val="00A0300C"/>
    <w:rsid w:val="00A0321B"/>
    <w:rsid w:val="00A03BF6"/>
    <w:rsid w:val="00A0469A"/>
    <w:rsid w:val="00A0569F"/>
    <w:rsid w:val="00A065B4"/>
    <w:rsid w:val="00A075AB"/>
    <w:rsid w:val="00A101A1"/>
    <w:rsid w:val="00A10AA7"/>
    <w:rsid w:val="00A10CDE"/>
    <w:rsid w:val="00A115AF"/>
    <w:rsid w:val="00A11CE9"/>
    <w:rsid w:val="00A1236A"/>
    <w:rsid w:val="00A1357C"/>
    <w:rsid w:val="00A13A35"/>
    <w:rsid w:val="00A141F6"/>
    <w:rsid w:val="00A142E4"/>
    <w:rsid w:val="00A1432A"/>
    <w:rsid w:val="00A145F7"/>
    <w:rsid w:val="00A17852"/>
    <w:rsid w:val="00A20255"/>
    <w:rsid w:val="00A20964"/>
    <w:rsid w:val="00A21219"/>
    <w:rsid w:val="00A21558"/>
    <w:rsid w:val="00A21579"/>
    <w:rsid w:val="00A226E0"/>
    <w:rsid w:val="00A22F60"/>
    <w:rsid w:val="00A23103"/>
    <w:rsid w:val="00A239CE"/>
    <w:rsid w:val="00A23F57"/>
    <w:rsid w:val="00A240DE"/>
    <w:rsid w:val="00A25E93"/>
    <w:rsid w:val="00A25F5B"/>
    <w:rsid w:val="00A2712C"/>
    <w:rsid w:val="00A271CE"/>
    <w:rsid w:val="00A30AA7"/>
    <w:rsid w:val="00A31D2F"/>
    <w:rsid w:val="00A320E9"/>
    <w:rsid w:val="00A323EC"/>
    <w:rsid w:val="00A32DE3"/>
    <w:rsid w:val="00A33799"/>
    <w:rsid w:val="00A359CF"/>
    <w:rsid w:val="00A359DC"/>
    <w:rsid w:val="00A35F42"/>
    <w:rsid w:val="00A36817"/>
    <w:rsid w:val="00A36F98"/>
    <w:rsid w:val="00A3757C"/>
    <w:rsid w:val="00A37CD3"/>
    <w:rsid w:val="00A40FCF"/>
    <w:rsid w:val="00A432C3"/>
    <w:rsid w:val="00A44F5D"/>
    <w:rsid w:val="00A44F72"/>
    <w:rsid w:val="00A45A50"/>
    <w:rsid w:val="00A45B8E"/>
    <w:rsid w:val="00A45C6D"/>
    <w:rsid w:val="00A45CDA"/>
    <w:rsid w:val="00A46D55"/>
    <w:rsid w:val="00A46E68"/>
    <w:rsid w:val="00A47F25"/>
    <w:rsid w:val="00A50681"/>
    <w:rsid w:val="00A51682"/>
    <w:rsid w:val="00A519B3"/>
    <w:rsid w:val="00A51EC6"/>
    <w:rsid w:val="00A52A5D"/>
    <w:rsid w:val="00A539A0"/>
    <w:rsid w:val="00A53E33"/>
    <w:rsid w:val="00A54026"/>
    <w:rsid w:val="00A54575"/>
    <w:rsid w:val="00A54597"/>
    <w:rsid w:val="00A54D8F"/>
    <w:rsid w:val="00A54E13"/>
    <w:rsid w:val="00A552EC"/>
    <w:rsid w:val="00A56E0D"/>
    <w:rsid w:val="00A57A87"/>
    <w:rsid w:val="00A57D43"/>
    <w:rsid w:val="00A60930"/>
    <w:rsid w:val="00A6099D"/>
    <w:rsid w:val="00A61181"/>
    <w:rsid w:val="00A61526"/>
    <w:rsid w:val="00A6154A"/>
    <w:rsid w:val="00A61A90"/>
    <w:rsid w:val="00A61BC3"/>
    <w:rsid w:val="00A621C5"/>
    <w:rsid w:val="00A6236B"/>
    <w:rsid w:val="00A62B7C"/>
    <w:rsid w:val="00A639E0"/>
    <w:rsid w:val="00A640AC"/>
    <w:rsid w:val="00A643F2"/>
    <w:rsid w:val="00A64A84"/>
    <w:rsid w:val="00A64C75"/>
    <w:rsid w:val="00A658D6"/>
    <w:rsid w:val="00A661EB"/>
    <w:rsid w:val="00A66412"/>
    <w:rsid w:val="00A66499"/>
    <w:rsid w:val="00A665F3"/>
    <w:rsid w:val="00A66767"/>
    <w:rsid w:val="00A6685B"/>
    <w:rsid w:val="00A6776B"/>
    <w:rsid w:val="00A67A35"/>
    <w:rsid w:val="00A7014A"/>
    <w:rsid w:val="00A70FB6"/>
    <w:rsid w:val="00A7154A"/>
    <w:rsid w:val="00A71894"/>
    <w:rsid w:val="00A741E7"/>
    <w:rsid w:val="00A74310"/>
    <w:rsid w:val="00A7444B"/>
    <w:rsid w:val="00A74C88"/>
    <w:rsid w:val="00A75872"/>
    <w:rsid w:val="00A76395"/>
    <w:rsid w:val="00A76DA7"/>
    <w:rsid w:val="00A77250"/>
    <w:rsid w:val="00A7732F"/>
    <w:rsid w:val="00A77CAF"/>
    <w:rsid w:val="00A8063F"/>
    <w:rsid w:val="00A8092D"/>
    <w:rsid w:val="00A81122"/>
    <w:rsid w:val="00A8118A"/>
    <w:rsid w:val="00A812B7"/>
    <w:rsid w:val="00A82C41"/>
    <w:rsid w:val="00A832AB"/>
    <w:rsid w:val="00A84E18"/>
    <w:rsid w:val="00A84E74"/>
    <w:rsid w:val="00A860AC"/>
    <w:rsid w:val="00A8636D"/>
    <w:rsid w:val="00A864CF"/>
    <w:rsid w:val="00A8671F"/>
    <w:rsid w:val="00A86854"/>
    <w:rsid w:val="00A8796A"/>
    <w:rsid w:val="00A90752"/>
    <w:rsid w:val="00A907C8"/>
    <w:rsid w:val="00A908C8"/>
    <w:rsid w:val="00A90A0D"/>
    <w:rsid w:val="00A920B0"/>
    <w:rsid w:val="00A9298C"/>
    <w:rsid w:val="00A92A55"/>
    <w:rsid w:val="00A92D1F"/>
    <w:rsid w:val="00A92F3E"/>
    <w:rsid w:val="00A93BA3"/>
    <w:rsid w:val="00A9441D"/>
    <w:rsid w:val="00A94507"/>
    <w:rsid w:val="00A95D70"/>
    <w:rsid w:val="00A95E62"/>
    <w:rsid w:val="00AA0441"/>
    <w:rsid w:val="00AA09DB"/>
    <w:rsid w:val="00AA1251"/>
    <w:rsid w:val="00AA195B"/>
    <w:rsid w:val="00AA2306"/>
    <w:rsid w:val="00AA2A44"/>
    <w:rsid w:val="00AA2B2E"/>
    <w:rsid w:val="00AA3877"/>
    <w:rsid w:val="00AA3B2C"/>
    <w:rsid w:val="00AA3DDB"/>
    <w:rsid w:val="00AA4AC9"/>
    <w:rsid w:val="00AA4D2F"/>
    <w:rsid w:val="00AA4D50"/>
    <w:rsid w:val="00AA58E7"/>
    <w:rsid w:val="00AA7A68"/>
    <w:rsid w:val="00AB05CD"/>
    <w:rsid w:val="00AB0715"/>
    <w:rsid w:val="00AB091B"/>
    <w:rsid w:val="00AB1040"/>
    <w:rsid w:val="00AB1433"/>
    <w:rsid w:val="00AB1673"/>
    <w:rsid w:val="00AB16D0"/>
    <w:rsid w:val="00AB171F"/>
    <w:rsid w:val="00AB2222"/>
    <w:rsid w:val="00AB235C"/>
    <w:rsid w:val="00AB2609"/>
    <w:rsid w:val="00AB2B99"/>
    <w:rsid w:val="00AB2DFD"/>
    <w:rsid w:val="00AB30DD"/>
    <w:rsid w:val="00AB3166"/>
    <w:rsid w:val="00AB32A2"/>
    <w:rsid w:val="00AB3667"/>
    <w:rsid w:val="00AB383E"/>
    <w:rsid w:val="00AB4A61"/>
    <w:rsid w:val="00AB5B68"/>
    <w:rsid w:val="00AB5FCC"/>
    <w:rsid w:val="00AB6807"/>
    <w:rsid w:val="00AC0869"/>
    <w:rsid w:val="00AC0BFD"/>
    <w:rsid w:val="00AC12F7"/>
    <w:rsid w:val="00AC1894"/>
    <w:rsid w:val="00AC1D01"/>
    <w:rsid w:val="00AC2036"/>
    <w:rsid w:val="00AC209C"/>
    <w:rsid w:val="00AC2788"/>
    <w:rsid w:val="00AC2F73"/>
    <w:rsid w:val="00AC3541"/>
    <w:rsid w:val="00AC3764"/>
    <w:rsid w:val="00AC3B2D"/>
    <w:rsid w:val="00AC4873"/>
    <w:rsid w:val="00AC4A2F"/>
    <w:rsid w:val="00AC51C3"/>
    <w:rsid w:val="00AC52BA"/>
    <w:rsid w:val="00AC579F"/>
    <w:rsid w:val="00AC5E5C"/>
    <w:rsid w:val="00AC6A19"/>
    <w:rsid w:val="00AC6B6E"/>
    <w:rsid w:val="00AC7479"/>
    <w:rsid w:val="00AC7CCA"/>
    <w:rsid w:val="00AD0655"/>
    <w:rsid w:val="00AD1534"/>
    <w:rsid w:val="00AD1EFE"/>
    <w:rsid w:val="00AD1F38"/>
    <w:rsid w:val="00AD1F6C"/>
    <w:rsid w:val="00AD36B8"/>
    <w:rsid w:val="00AD3FF1"/>
    <w:rsid w:val="00AD435C"/>
    <w:rsid w:val="00AD47F3"/>
    <w:rsid w:val="00AD5755"/>
    <w:rsid w:val="00AD6361"/>
    <w:rsid w:val="00AD66D7"/>
    <w:rsid w:val="00AD69B3"/>
    <w:rsid w:val="00AD70E8"/>
    <w:rsid w:val="00AD776A"/>
    <w:rsid w:val="00AE25D1"/>
    <w:rsid w:val="00AE2CFA"/>
    <w:rsid w:val="00AE2FBB"/>
    <w:rsid w:val="00AE33B9"/>
    <w:rsid w:val="00AE34A1"/>
    <w:rsid w:val="00AE426D"/>
    <w:rsid w:val="00AE48E9"/>
    <w:rsid w:val="00AE4928"/>
    <w:rsid w:val="00AE5306"/>
    <w:rsid w:val="00AE5522"/>
    <w:rsid w:val="00AE7266"/>
    <w:rsid w:val="00AE790B"/>
    <w:rsid w:val="00AE7D2B"/>
    <w:rsid w:val="00AF046A"/>
    <w:rsid w:val="00AF0E92"/>
    <w:rsid w:val="00AF19F8"/>
    <w:rsid w:val="00AF1E04"/>
    <w:rsid w:val="00AF292A"/>
    <w:rsid w:val="00AF37BD"/>
    <w:rsid w:val="00AF3DFD"/>
    <w:rsid w:val="00AF4902"/>
    <w:rsid w:val="00AF5265"/>
    <w:rsid w:val="00AF54D2"/>
    <w:rsid w:val="00AF5EDE"/>
    <w:rsid w:val="00AF62D0"/>
    <w:rsid w:val="00AF6A3D"/>
    <w:rsid w:val="00AF6DF1"/>
    <w:rsid w:val="00AF7E36"/>
    <w:rsid w:val="00B00F5D"/>
    <w:rsid w:val="00B01F11"/>
    <w:rsid w:val="00B033A3"/>
    <w:rsid w:val="00B040A1"/>
    <w:rsid w:val="00B04AAA"/>
    <w:rsid w:val="00B04CB6"/>
    <w:rsid w:val="00B06B98"/>
    <w:rsid w:val="00B06C1B"/>
    <w:rsid w:val="00B074CB"/>
    <w:rsid w:val="00B101DC"/>
    <w:rsid w:val="00B108D0"/>
    <w:rsid w:val="00B111A0"/>
    <w:rsid w:val="00B125E4"/>
    <w:rsid w:val="00B12D57"/>
    <w:rsid w:val="00B13C72"/>
    <w:rsid w:val="00B13D1F"/>
    <w:rsid w:val="00B14153"/>
    <w:rsid w:val="00B157BF"/>
    <w:rsid w:val="00B160CA"/>
    <w:rsid w:val="00B161B9"/>
    <w:rsid w:val="00B162E5"/>
    <w:rsid w:val="00B16A2E"/>
    <w:rsid w:val="00B205E9"/>
    <w:rsid w:val="00B21EFC"/>
    <w:rsid w:val="00B22C80"/>
    <w:rsid w:val="00B232A1"/>
    <w:rsid w:val="00B26662"/>
    <w:rsid w:val="00B2730E"/>
    <w:rsid w:val="00B27C5E"/>
    <w:rsid w:val="00B30EFC"/>
    <w:rsid w:val="00B31194"/>
    <w:rsid w:val="00B337FA"/>
    <w:rsid w:val="00B33A68"/>
    <w:rsid w:val="00B344B0"/>
    <w:rsid w:val="00B34E40"/>
    <w:rsid w:val="00B368CE"/>
    <w:rsid w:val="00B36D47"/>
    <w:rsid w:val="00B37D63"/>
    <w:rsid w:val="00B40ADD"/>
    <w:rsid w:val="00B41C8A"/>
    <w:rsid w:val="00B41D78"/>
    <w:rsid w:val="00B41EA5"/>
    <w:rsid w:val="00B423AC"/>
    <w:rsid w:val="00B437E8"/>
    <w:rsid w:val="00B43EC2"/>
    <w:rsid w:val="00B43FEF"/>
    <w:rsid w:val="00B44220"/>
    <w:rsid w:val="00B44358"/>
    <w:rsid w:val="00B44B65"/>
    <w:rsid w:val="00B45433"/>
    <w:rsid w:val="00B45C26"/>
    <w:rsid w:val="00B50437"/>
    <w:rsid w:val="00B50898"/>
    <w:rsid w:val="00B50B57"/>
    <w:rsid w:val="00B50C1B"/>
    <w:rsid w:val="00B5189D"/>
    <w:rsid w:val="00B518D8"/>
    <w:rsid w:val="00B51D5B"/>
    <w:rsid w:val="00B52556"/>
    <w:rsid w:val="00B52646"/>
    <w:rsid w:val="00B5308F"/>
    <w:rsid w:val="00B53321"/>
    <w:rsid w:val="00B53C83"/>
    <w:rsid w:val="00B54016"/>
    <w:rsid w:val="00B540AE"/>
    <w:rsid w:val="00B55A7D"/>
    <w:rsid w:val="00B5726C"/>
    <w:rsid w:val="00B57272"/>
    <w:rsid w:val="00B576B4"/>
    <w:rsid w:val="00B57ED7"/>
    <w:rsid w:val="00B602C7"/>
    <w:rsid w:val="00B60516"/>
    <w:rsid w:val="00B606FE"/>
    <w:rsid w:val="00B60B3F"/>
    <w:rsid w:val="00B61083"/>
    <w:rsid w:val="00B617C3"/>
    <w:rsid w:val="00B6199F"/>
    <w:rsid w:val="00B63956"/>
    <w:rsid w:val="00B63B41"/>
    <w:rsid w:val="00B642E9"/>
    <w:rsid w:val="00B6430C"/>
    <w:rsid w:val="00B64723"/>
    <w:rsid w:val="00B6480E"/>
    <w:rsid w:val="00B64AC7"/>
    <w:rsid w:val="00B651E2"/>
    <w:rsid w:val="00B652CF"/>
    <w:rsid w:val="00B654DF"/>
    <w:rsid w:val="00B65796"/>
    <w:rsid w:val="00B66242"/>
    <w:rsid w:val="00B66C58"/>
    <w:rsid w:val="00B67316"/>
    <w:rsid w:val="00B7060C"/>
    <w:rsid w:val="00B71366"/>
    <w:rsid w:val="00B74330"/>
    <w:rsid w:val="00B746CC"/>
    <w:rsid w:val="00B750EB"/>
    <w:rsid w:val="00B7635A"/>
    <w:rsid w:val="00B7688F"/>
    <w:rsid w:val="00B768E7"/>
    <w:rsid w:val="00B770D8"/>
    <w:rsid w:val="00B77380"/>
    <w:rsid w:val="00B7754A"/>
    <w:rsid w:val="00B7775A"/>
    <w:rsid w:val="00B77867"/>
    <w:rsid w:val="00B804D7"/>
    <w:rsid w:val="00B81801"/>
    <w:rsid w:val="00B820C6"/>
    <w:rsid w:val="00B82EBE"/>
    <w:rsid w:val="00B83818"/>
    <w:rsid w:val="00B84B6E"/>
    <w:rsid w:val="00B8623F"/>
    <w:rsid w:val="00B86282"/>
    <w:rsid w:val="00B866B0"/>
    <w:rsid w:val="00B86F4F"/>
    <w:rsid w:val="00B870C3"/>
    <w:rsid w:val="00B87897"/>
    <w:rsid w:val="00B87BBA"/>
    <w:rsid w:val="00B90612"/>
    <w:rsid w:val="00B90AD7"/>
    <w:rsid w:val="00B90CE3"/>
    <w:rsid w:val="00B92675"/>
    <w:rsid w:val="00B926D9"/>
    <w:rsid w:val="00B93001"/>
    <w:rsid w:val="00B93910"/>
    <w:rsid w:val="00B93D97"/>
    <w:rsid w:val="00B93E5C"/>
    <w:rsid w:val="00B96BE5"/>
    <w:rsid w:val="00B971EB"/>
    <w:rsid w:val="00B976F2"/>
    <w:rsid w:val="00BA0379"/>
    <w:rsid w:val="00BA042D"/>
    <w:rsid w:val="00BA22C7"/>
    <w:rsid w:val="00BA2BD5"/>
    <w:rsid w:val="00BA3280"/>
    <w:rsid w:val="00BA36EF"/>
    <w:rsid w:val="00BA3D0C"/>
    <w:rsid w:val="00BA3D8D"/>
    <w:rsid w:val="00BA4F54"/>
    <w:rsid w:val="00BA5292"/>
    <w:rsid w:val="00BA7380"/>
    <w:rsid w:val="00BA7442"/>
    <w:rsid w:val="00BA74C7"/>
    <w:rsid w:val="00BA75C0"/>
    <w:rsid w:val="00BB02B6"/>
    <w:rsid w:val="00BB098F"/>
    <w:rsid w:val="00BB15D1"/>
    <w:rsid w:val="00BB1DB6"/>
    <w:rsid w:val="00BB2261"/>
    <w:rsid w:val="00BB257C"/>
    <w:rsid w:val="00BB360B"/>
    <w:rsid w:val="00BB3B6B"/>
    <w:rsid w:val="00BB3BD4"/>
    <w:rsid w:val="00BB415E"/>
    <w:rsid w:val="00BB42B1"/>
    <w:rsid w:val="00BB44B7"/>
    <w:rsid w:val="00BB4564"/>
    <w:rsid w:val="00BB473F"/>
    <w:rsid w:val="00BB477B"/>
    <w:rsid w:val="00BB4ABC"/>
    <w:rsid w:val="00BB5ED1"/>
    <w:rsid w:val="00BB6C88"/>
    <w:rsid w:val="00BB70BC"/>
    <w:rsid w:val="00BB7393"/>
    <w:rsid w:val="00BB743D"/>
    <w:rsid w:val="00BB7BE9"/>
    <w:rsid w:val="00BB7CB9"/>
    <w:rsid w:val="00BC001F"/>
    <w:rsid w:val="00BC0029"/>
    <w:rsid w:val="00BC132E"/>
    <w:rsid w:val="00BC17F6"/>
    <w:rsid w:val="00BC2D2D"/>
    <w:rsid w:val="00BC318D"/>
    <w:rsid w:val="00BC346C"/>
    <w:rsid w:val="00BC37BC"/>
    <w:rsid w:val="00BC4365"/>
    <w:rsid w:val="00BC458A"/>
    <w:rsid w:val="00BC5409"/>
    <w:rsid w:val="00BC559D"/>
    <w:rsid w:val="00BC57F9"/>
    <w:rsid w:val="00BC631C"/>
    <w:rsid w:val="00BC75B6"/>
    <w:rsid w:val="00BC799A"/>
    <w:rsid w:val="00BD135E"/>
    <w:rsid w:val="00BD2A67"/>
    <w:rsid w:val="00BD2C90"/>
    <w:rsid w:val="00BD2DC4"/>
    <w:rsid w:val="00BD3FDD"/>
    <w:rsid w:val="00BD50C2"/>
    <w:rsid w:val="00BD586D"/>
    <w:rsid w:val="00BD5B4E"/>
    <w:rsid w:val="00BD789E"/>
    <w:rsid w:val="00BD78F5"/>
    <w:rsid w:val="00BD7FD1"/>
    <w:rsid w:val="00BE01D5"/>
    <w:rsid w:val="00BE07FE"/>
    <w:rsid w:val="00BE0E98"/>
    <w:rsid w:val="00BE1E67"/>
    <w:rsid w:val="00BE44A4"/>
    <w:rsid w:val="00BE4D8D"/>
    <w:rsid w:val="00BE775D"/>
    <w:rsid w:val="00BE7877"/>
    <w:rsid w:val="00BF04E9"/>
    <w:rsid w:val="00BF0616"/>
    <w:rsid w:val="00BF223B"/>
    <w:rsid w:val="00BF2F2B"/>
    <w:rsid w:val="00BF3DA5"/>
    <w:rsid w:val="00BF4271"/>
    <w:rsid w:val="00BF4D95"/>
    <w:rsid w:val="00BF5818"/>
    <w:rsid w:val="00BF6400"/>
    <w:rsid w:val="00BF660F"/>
    <w:rsid w:val="00BF75B1"/>
    <w:rsid w:val="00C0068F"/>
    <w:rsid w:val="00C0165A"/>
    <w:rsid w:val="00C01BE2"/>
    <w:rsid w:val="00C02DC1"/>
    <w:rsid w:val="00C02F10"/>
    <w:rsid w:val="00C043C6"/>
    <w:rsid w:val="00C05F2D"/>
    <w:rsid w:val="00C063B3"/>
    <w:rsid w:val="00C07A0F"/>
    <w:rsid w:val="00C07EC0"/>
    <w:rsid w:val="00C07EFE"/>
    <w:rsid w:val="00C1043C"/>
    <w:rsid w:val="00C111D2"/>
    <w:rsid w:val="00C124A3"/>
    <w:rsid w:val="00C12992"/>
    <w:rsid w:val="00C12D5F"/>
    <w:rsid w:val="00C12F5A"/>
    <w:rsid w:val="00C145F1"/>
    <w:rsid w:val="00C147BF"/>
    <w:rsid w:val="00C15186"/>
    <w:rsid w:val="00C15BEF"/>
    <w:rsid w:val="00C16566"/>
    <w:rsid w:val="00C167AC"/>
    <w:rsid w:val="00C1767B"/>
    <w:rsid w:val="00C20A25"/>
    <w:rsid w:val="00C20BD5"/>
    <w:rsid w:val="00C214AF"/>
    <w:rsid w:val="00C217D5"/>
    <w:rsid w:val="00C22475"/>
    <w:rsid w:val="00C2316F"/>
    <w:rsid w:val="00C238B4"/>
    <w:rsid w:val="00C23AEF"/>
    <w:rsid w:val="00C24734"/>
    <w:rsid w:val="00C25F48"/>
    <w:rsid w:val="00C2655C"/>
    <w:rsid w:val="00C300F5"/>
    <w:rsid w:val="00C30382"/>
    <w:rsid w:val="00C3237F"/>
    <w:rsid w:val="00C326DB"/>
    <w:rsid w:val="00C3285A"/>
    <w:rsid w:val="00C33B19"/>
    <w:rsid w:val="00C33CAE"/>
    <w:rsid w:val="00C33D36"/>
    <w:rsid w:val="00C340B2"/>
    <w:rsid w:val="00C34633"/>
    <w:rsid w:val="00C349E7"/>
    <w:rsid w:val="00C3594C"/>
    <w:rsid w:val="00C40588"/>
    <w:rsid w:val="00C41E9E"/>
    <w:rsid w:val="00C42083"/>
    <w:rsid w:val="00C42194"/>
    <w:rsid w:val="00C42243"/>
    <w:rsid w:val="00C42364"/>
    <w:rsid w:val="00C42873"/>
    <w:rsid w:val="00C42DCE"/>
    <w:rsid w:val="00C4396C"/>
    <w:rsid w:val="00C45CDF"/>
    <w:rsid w:val="00C460F0"/>
    <w:rsid w:val="00C4639C"/>
    <w:rsid w:val="00C46647"/>
    <w:rsid w:val="00C4667F"/>
    <w:rsid w:val="00C46AC0"/>
    <w:rsid w:val="00C46CB3"/>
    <w:rsid w:val="00C46F3D"/>
    <w:rsid w:val="00C47330"/>
    <w:rsid w:val="00C47958"/>
    <w:rsid w:val="00C50316"/>
    <w:rsid w:val="00C50DEC"/>
    <w:rsid w:val="00C5102E"/>
    <w:rsid w:val="00C51A64"/>
    <w:rsid w:val="00C52061"/>
    <w:rsid w:val="00C52704"/>
    <w:rsid w:val="00C52E77"/>
    <w:rsid w:val="00C537A3"/>
    <w:rsid w:val="00C539DD"/>
    <w:rsid w:val="00C53E36"/>
    <w:rsid w:val="00C54196"/>
    <w:rsid w:val="00C5439D"/>
    <w:rsid w:val="00C543ED"/>
    <w:rsid w:val="00C543F2"/>
    <w:rsid w:val="00C5457F"/>
    <w:rsid w:val="00C548EF"/>
    <w:rsid w:val="00C54E2F"/>
    <w:rsid w:val="00C55B72"/>
    <w:rsid w:val="00C55FFD"/>
    <w:rsid w:val="00C563E8"/>
    <w:rsid w:val="00C5782E"/>
    <w:rsid w:val="00C5793B"/>
    <w:rsid w:val="00C605D5"/>
    <w:rsid w:val="00C60624"/>
    <w:rsid w:val="00C6094E"/>
    <w:rsid w:val="00C60C63"/>
    <w:rsid w:val="00C61226"/>
    <w:rsid w:val="00C61814"/>
    <w:rsid w:val="00C63CD9"/>
    <w:rsid w:val="00C641AC"/>
    <w:rsid w:val="00C6466A"/>
    <w:rsid w:val="00C64BF3"/>
    <w:rsid w:val="00C6575D"/>
    <w:rsid w:val="00C66288"/>
    <w:rsid w:val="00C66372"/>
    <w:rsid w:val="00C663DE"/>
    <w:rsid w:val="00C665F0"/>
    <w:rsid w:val="00C666AC"/>
    <w:rsid w:val="00C66B42"/>
    <w:rsid w:val="00C67024"/>
    <w:rsid w:val="00C670CB"/>
    <w:rsid w:val="00C67153"/>
    <w:rsid w:val="00C679E9"/>
    <w:rsid w:val="00C67A59"/>
    <w:rsid w:val="00C7012E"/>
    <w:rsid w:val="00C70248"/>
    <w:rsid w:val="00C70A56"/>
    <w:rsid w:val="00C70ACB"/>
    <w:rsid w:val="00C70E6D"/>
    <w:rsid w:val="00C70EB2"/>
    <w:rsid w:val="00C714A3"/>
    <w:rsid w:val="00C71AFB"/>
    <w:rsid w:val="00C723AB"/>
    <w:rsid w:val="00C723F4"/>
    <w:rsid w:val="00C72546"/>
    <w:rsid w:val="00C73146"/>
    <w:rsid w:val="00C733C8"/>
    <w:rsid w:val="00C7569F"/>
    <w:rsid w:val="00C77120"/>
    <w:rsid w:val="00C7713E"/>
    <w:rsid w:val="00C777CD"/>
    <w:rsid w:val="00C801E5"/>
    <w:rsid w:val="00C806BE"/>
    <w:rsid w:val="00C80FC1"/>
    <w:rsid w:val="00C815C9"/>
    <w:rsid w:val="00C82250"/>
    <w:rsid w:val="00C829AE"/>
    <w:rsid w:val="00C82F8F"/>
    <w:rsid w:val="00C83042"/>
    <w:rsid w:val="00C83B3F"/>
    <w:rsid w:val="00C84236"/>
    <w:rsid w:val="00C860D5"/>
    <w:rsid w:val="00C8656D"/>
    <w:rsid w:val="00C86B11"/>
    <w:rsid w:val="00C877FB"/>
    <w:rsid w:val="00C901DD"/>
    <w:rsid w:val="00C92044"/>
    <w:rsid w:val="00C92262"/>
    <w:rsid w:val="00C934F2"/>
    <w:rsid w:val="00C938E3"/>
    <w:rsid w:val="00C93BE5"/>
    <w:rsid w:val="00C94117"/>
    <w:rsid w:val="00C94389"/>
    <w:rsid w:val="00C944CB"/>
    <w:rsid w:val="00C94767"/>
    <w:rsid w:val="00C956AD"/>
    <w:rsid w:val="00C95A96"/>
    <w:rsid w:val="00C95CA5"/>
    <w:rsid w:val="00C967A9"/>
    <w:rsid w:val="00C967EA"/>
    <w:rsid w:val="00C96EE1"/>
    <w:rsid w:val="00C974B4"/>
    <w:rsid w:val="00C979F0"/>
    <w:rsid w:val="00CA08B5"/>
    <w:rsid w:val="00CA0CDB"/>
    <w:rsid w:val="00CA0D3D"/>
    <w:rsid w:val="00CA12C9"/>
    <w:rsid w:val="00CA21C5"/>
    <w:rsid w:val="00CA2793"/>
    <w:rsid w:val="00CA27FF"/>
    <w:rsid w:val="00CA3516"/>
    <w:rsid w:val="00CA42C5"/>
    <w:rsid w:val="00CA52C0"/>
    <w:rsid w:val="00CA64C2"/>
    <w:rsid w:val="00CA64C6"/>
    <w:rsid w:val="00CA71AB"/>
    <w:rsid w:val="00CA7338"/>
    <w:rsid w:val="00CA7C3D"/>
    <w:rsid w:val="00CB0F84"/>
    <w:rsid w:val="00CB2316"/>
    <w:rsid w:val="00CB253A"/>
    <w:rsid w:val="00CB2D48"/>
    <w:rsid w:val="00CB2E16"/>
    <w:rsid w:val="00CB308B"/>
    <w:rsid w:val="00CB36B8"/>
    <w:rsid w:val="00CB3D56"/>
    <w:rsid w:val="00CB45DE"/>
    <w:rsid w:val="00CB7C09"/>
    <w:rsid w:val="00CC0B62"/>
    <w:rsid w:val="00CC18D7"/>
    <w:rsid w:val="00CC1B02"/>
    <w:rsid w:val="00CC2655"/>
    <w:rsid w:val="00CC30FA"/>
    <w:rsid w:val="00CC4483"/>
    <w:rsid w:val="00CC58B1"/>
    <w:rsid w:val="00CC5E15"/>
    <w:rsid w:val="00CC6392"/>
    <w:rsid w:val="00CC668E"/>
    <w:rsid w:val="00CC6B44"/>
    <w:rsid w:val="00CC6EA5"/>
    <w:rsid w:val="00CC7274"/>
    <w:rsid w:val="00CD0A4E"/>
    <w:rsid w:val="00CD0F83"/>
    <w:rsid w:val="00CD10E8"/>
    <w:rsid w:val="00CD132A"/>
    <w:rsid w:val="00CD1928"/>
    <w:rsid w:val="00CD245E"/>
    <w:rsid w:val="00CD3179"/>
    <w:rsid w:val="00CD345C"/>
    <w:rsid w:val="00CD3630"/>
    <w:rsid w:val="00CD3B5B"/>
    <w:rsid w:val="00CD3B6A"/>
    <w:rsid w:val="00CD471F"/>
    <w:rsid w:val="00CD4F41"/>
    <w:rsid w:val="00CD5564"/>
    <w:rsid w:val="00CD5700"/>
    <w:rsid w:val="00CE0638"/>
    <w:rsid w:val="00CE067A"/>
    <w:rsid w:val="00CE079D"/>
    <w:rsid w:val="00CE09C5"/>
    <w:rsid w:val="00CE0D9C"/>
    <w:rsid w:val="00CE1665"/>
    <w:rsid w:val="00CE3B33"/>
    <w:rsid w:val="00CE3D0A"/>
    <w:rsid w:val="00CE3E1B"/>
    <w:rsid w:val="00CE3EB4"/>
    <w:rsid w:val="00CE45A9"/>
    <w:rsid w:val="00CE4873"/>
    <w:rsid w:val="00CE54A7"/>
    <w:rsid w:val="00CE56A9"/>
    <w:rsid w:val="00CE5D83"/>
    <w:rsid w:val="00CE66F6"/>
    <w:rsid w:val="00CE6ABC"/>
    <w:rsid w:val="00CF06BF"/>
    <w:rsid w:val="00CF0E0D"/>
    <w:rsid w:val="00CF112D"/>
    <w:rsid w:val="00CF202B"/>
    <w:rsid w:val="00CF21A6"/>
    <w:rsid w:val="00CF3175"/>
    <w:rsid w:val="00CF37F7"/>
    <w:rsid w:val="00CF3EEC"/>
    <w:rsid w:val="00CF472C"/>
    <w:rsid w:val="00CF4B3D"/>
    <w:rsid w:val="00CF579A"/>
    <w:rsid w:val="00CF604B"/>
    <w:rsid w:val="00CF62F1"/>
    <w:rsid w:val="00CF6AAF"/>
    <w:rsid w:val="00CF6EAE"/>
    <w:rsid w:val="00CF7205"/>
    <w:rsid w:val="00CF76C3"/>
    <w:rsid w:val="00D007E1"/>
    <w:rsid w:val="00D01A51"/>
    <w:rsid w:val="00D02962"/>
    <w:rsid w:val="00D02DA4"/>
    <w:rsid w:val="00D02F2F"/>
    <w:rsid w:val="00D04183"/>
    <w:rsid w:val="00D05507"/>
    <w:rsid w:val="00D05901"/>
    <w:rsid w:val="00D063F6"/>
    <w:rsid w:val="00D06A30"/>
    <w:rsid w:val="00D07AED"/>
    <w:rsid w:val="00D07E3B"/>
    <w:rsid w:val="00D07F71"/>
    <w:rsid w:val="00D10A5E"/>
    <w:rsid w:val="00D12664"/>
    <w:rsid w:val="00D12A20"/>
    <w:rsid w:val="00D12F3F"/>
    <w:rsid w:val="00D13A26"/>
    <w:rsid w:val="00D13AD4"/>
    <w:rsid w:val="00D1488A"/>
    <w:rsid w:val="00D14EE3"/>
    <w:rsid w:val="00D15172"/>
    <w:rsid w:val="00D155D8"/>
    <w:rsid w:val="00D15B36"/>
    <w:rsid w:val="00D1656A"/>
    <w:rsid w:val="00D17AF5"/>
    <w:rsid w:val="00D17BD2"/>
    <w:rsid w:val="00D206ED"/>
    <w:rsid w:val="00D20AA3"/>
    <w:rsid w:val="00D213E8"/>
    <w:rsid w:val="00D21AE2"/>
    <w:rsid w:val="00D22000"/>
    <w:rsid w:val="00D2284F"/>
    <w:rsid w:val="00D23AD4"/>
    <w:rsid w:val="00D23FC8"/>
    <w:rsid w:val="00D2487D"/>
    <w:rsid w:val="00D248FF"/>
    <w:rsid w:val="00D24D0A"/>
    <w:rsid w:val="00D25002"/>
    <w:rsid w:val="00D2512D"/>
    <w:rsid w:val="00D2571F"/>
    <w:rsid w:val="00D26E63"/>
    <w:rsid w:val="00D307E2"/>
    <w:rsid w:val="00D308F9"/>
    <w:rsid w:val="00D32090"/>
    <w:rsid w:val="00D32518"/>
    <w:rsid w:val="00D33E40"/>
    <w:rsid w:val="00D347C8"/>
    <w:rsid w:val="00D3504F"/>
    <w:rsid w:val="00D35204"/>
    <w:rsid w:val="00D3545A"/>
    <w:rsid w:val="00D35570"/>
    <w:rsid w:val="00D35934"/>
    <w:rsid w:val="00D36256"/>
    <w:rsid w:val="00D36E60"/>
    <w:rsid w:val="00D37310"/>
    <w:rsid w:val="00D375DB"/>
    <w:rsid w:val="00D406E5"/>
    <w:rsid w:val="00D4136D"/>
    <w:rsid w:val="00D429BA"/>
    <w:rsid w:val="00D4326E"/>
    <w:rsid w:val="00D433DC"/>
    <w:rsid w:val="00D4466B"/>
    <w:rsid w:val="00D4502A"/>
    <w:rsid w:val="00D45709"/>
    <w:rsid w:val="00D45DC6"/>
    <w:rsid w:val="00D465B4"/>
    <w:rsid w:val="00D4678D"/>
    <w:rsid w:val="00D46961"/>
    <w:rsid w:val="00D46EB6"/>
    <w:rsid w:val="00D473EF"/>
    <w:rsid w:val="00D47909"/>
    <w:rsid w:val="00D47DD4"/>
    <w:rsid w:val="00D47F98"/>
    <w:rsid w:val="00D50ACE"/>
    <w:rsid w:val="00D5201E"/>
    <w:rsid w:val="00D52205"/>
    <w:rsid w:val="00D52685"/>
    <w:rsid w:val="00D528C1"/>
    <w:rsid w:val="00D541DE"/>
    <w:rsid w:val="00D54281"/>
    <w:rsid w:val="00D54AE2"/>
    <w:rsid w:val="00D54B41"/>
    <w:rsid w:val="00D55581"/>
    <w:rsid w:val="00D55A3F"/>
    <w:rsid w:val="00D5722C"/>
    <w:rsid w:val="00D5723B"/>
    <w:rsid w:val="00D57344"/>
    <w:rsid w:val="00D57A2C"/>
    <w:rsid w:val="00D57F55"/>
    <w:rsid w:val="00D60A09"/>
    <w:rsid w:val="00D61A63"/>
    <w:rsid w:val="00D61BF2"/>
    <w:rsid w:val="00D61E17"/>
    <w:rsid w:val="00D63053"/>
    <w:rsid w:val="00D6363D"/>
    <w:rsid w:val="00D63BC3"/>
    <w:rsid w:val="00D64C71"/>
    <w:rsid w:val="00D6522F"/>
    <w:rsid w:val="00D6564D"/>
    <w:rsid w:val="00D656B3"/>
    <w:rsid w:val="00D660F9"/>
    <w:rsid w:val="00D67082"/>
    <w:rsid w:val="00D675D0"/>
    <w:rsid w:val="00D679BF"/>
    <w:rsid w:val="00D703EC"/>
    <w:rsid w:val="00D705EB"/>
    <w:rsid w:val="00D70969"/>
    <w:rsid w:val="00D711D2"/>
    <w:rsid w:val="00D714E1"/>
    <w:rsid w:val="00D72296"/>
    <w:rsid w:val="00D725E7"/>
    <w:rsid w:val="00D750D9"/>
    <w:rsid w:val="00D75797"/>
    <w:rsid w:val="00D75B76"/>
    <w:rsid w:val="00D75E92"/>
    <w:rsid w:val="00D76A05"/>
    <w:rsid w:val="00D77755"/>
    <w:rsid w:val="00D779C6"/>
    <w:rsid w:val="00D80168"/>
    <w:rsid w:val="00D801F5"/>
    <w:rsid w:val="00D80B36"/>
    <w:rsid w:val="00D81108"/>
    <w:rsid w:val="00D82841"/>
    <w:rsid w:val="00D83500"/>
    <w:rsid w:val="00D83A79"/>
    <w:rsid w:val="00D85C66"/>
    <w:rsid w:val="00D85E9F"/>
    <w:rsid w:val="00D85F25"/>
    <w:rsid w:val="00D86360"/>
    <w:rsid w:val="00D8727C"/>
    <w:rsid w:val="00D878E1"/>
    <w:rsid w:val="00D90009"/>
    <w:rsid w:val="00D90223"/>
    <w:rsid w:val="00D903ED"/>
    <w:rsid w:val="00D90644"/>
    <w:rsid w:val="00D9149B"/>
    <w:rsid w:val="00D918FB"/>
    <w:rsid w:val="00D91C08"/>
    <w:rsid w:val="00D929B0"/>
    <w:rsid w:val="00D92A33"/>
    <w:rsid w:val="00D92CD1"/>
    <w:rsid w:val="00D92EF5"/>
    <w:rsid w:val="00D932D4"/>
    <w:rsid w:val="00D93348"/>
    <w:rsid w:val="00D93852"/>
    <w:rsid w:val="00D9390F"/>
    <w:rsid w:val="00D95566"/>
    <w:rsid w:val="00D9556E"/>
    <w:rsid w:val="00D95E23"/>
    <w:rsid w:val="00D965C0"/>
    <w:rsid w:val="00D9666C"/>
    <w:rsid w:val="00D97543"/>
    <w:rsid w:val="00D97DD5"/>
    <w:rsid w:val="00DA02B2"/>
    <w:rsid w:val="00DA0ED7"/>
    <w:rsid w:val="00DA1C92"/>
    <w:rsid w:val="00DA202A"/>
    <w:rsid w:val="00DA2C89"/>
    <w:rsid w:val="00DA33AB"/>
    <w:rsid w:val="00DA36A8"/>
    <w:rsid w:val="00DA3D44"/>
    <w:rsid w:val="00DA3E2C"/>
    <w:rsid w:val="00DA413F"/>
    <w:rsid w:val="00DA4AE5"/>
    <w:rsid w:val="00DA4BFF"/>
    <w:rsid w:val="00DA56D5"/>
    <w:rsid w:val="00DA5D07"/>
    <w:rsid w:val="00DA62B9"/>
    <w:rsid w:val="00DB053A"/>
    <w:rsid w:val="00DB0C25"/>
    <w:rsid w:val="00DB11D7"/>
    <w:rsid w:val="00DB15D2"/>
    <w:rsid w:val="00DB2E77"/>
    <w:rsid w:val="00DB377D"/>
    <w:rsid w:val="00DB3805"/>
    <w:rsid w:val="00DB3989"/>
    <w:rsid w:val="00DB473B"/>
    <w:rsid w:val="00DB49D1"/>
    <w:rsid w:val="00DB6FD9"/>
    <w:rsid w:val="00DB74AE"/>
    <w:rsid w:val="00DC1303"/>
    <w:rsid w:val="00DC14AC"/>
    <w:rsid w:val="00DC16B4"/>
    <w:rsid w:val="00DC1D23"/>
    <w:rsid w:val="00DC1D90"/>
    <w:rsid w:val="00DC2019"/>
    <w:rsid w:val="00DC2176"/>
    <w:rsid w:val="00DC218A"/>
    <w:rsid w:val="00DC266A"/>
    <w:rsid w:val="00DC42A1"/>
    <w:rsid w:val="00DC43F1"/>
    <w:rsid w:val="00DC4C55"/>
    <w:rsid w:val="00DC4CAD"/>
    <w:rsid w:val="00DC53F1"/>
    <w:rsid w:val="00DC5819"/>
    <w:rsid w:val="00DC5C4C"/>
    <w:rsid w:val="00DC5EE5"/>
    <w:rsid w:val="00DC6F45"/>
    <w:rsid w:val="00DC704F"/>
    <w:rsid w:val="00DC71CA"/>
    <w:rsid w:val="00DC74B5"/>
    <w:rsid w:val="00DC7B6E"/>
    <w:rsid w:val="00DD07E1"/>
    <w:rsid w:val="00DD0EE5"/>
    <w:rsid w:val="00DD16A4"/>
    <w:rsid w:val="00DD2A39"/>
    <w:rsid w:val="00DD3088"/>
    <w:rsid w:val="00DD392F"/>
    <w:rsid w:val="00DD3D19"/>
    <w:rsid w:val="00DD47D6"/>
    <w:rsid w:val="00DD4A34"/>
    <w:rsid w:val="00DD4CEE"/>
    <w:rsid w:val="00DD611B"/>
    <w:rsid w:val="00DD662C"/>
    <w:rsid w:val="00DD7967"/>
    <w:rsid w:val="00DD7E3C"/>
    <w:rsid w:val="00DE040A"/>
    <w:rsid w:val="00DE1D2C"/>
    <w:rsid w:val="00DE295B"/>
    <w:rsid w:val="00DE2A1F"/>
    <w:rsid w:val="00DE2B70"/>
    <w:rsid w:val="00DE3BBA"/>
    <w:rsid w:val="00DE3E13"/>
    <w:rsid w:val="00DE468B"/>
    <w:rsid w:val="00DE4978"/>
    <w:rsid w:val="00DE4C3C"/>
    <w:rsid w:val="00DE5119"/>
    <w:rsid w:val="00DE57F5"/>
    <w:rsid w:val="00DE5D5F"/>
    <w:rsid w:val="00DE61AC"/>
    <w:rsid w:val="00DE75AC"/>
    <w:rsid w:val="00DE767F"/>
    <w:rsid w:val="00DF0164"/>
    <w:rsid w:val="00DF052C"/>
    <w:rsid w:val="00DF1808"/>
    <w:rsid w:val="00DF1EC7"/>
    <w:rsid w:val="00DF2540"/>
    <w:rsid w:val="00DF25C0"/>
    <w:rsid w:val="00DF28BB"/>
    <w:rsid w:val="00DF2A42"/>
    <w:rsid w:val="00DF3F26"/>
    <w:rsid w:val="00DF45A8"/>
    <w:rsid w:val="00DF4A2A"/>
    <w:rsid w:val="00DF5FB8"/>
    <w:rsid w:val="00DF7A7C"/>
    <w:rsid w:val="00E000D6"/>
    <w:rsid w:val="00E000F5"/>
    <w:rsid w:val="00E00169"/>
    <w:rsid w:val="00E01E57"/>
    <w:rsid w:val="00E02501"/>
    <w:rsid w:val="00E02E2C"/>
    <w:rsid w:val="00E03DDF"/>
    <w:rsid w:val="00E046C4"/>
    <w:rsid w:val="00E06E4B"/>
    <w:rsid w:val="00E07110"/>
    <w:rsid w:val="00E072EE"/>
    <w:rsid w:val="00E07741"/>
    <w:rsid w:val="00E07E19"/>
    <w:rsid w:val="00E07F86"/>
    <w:rsid w:val="00E11042"/>
    <w:rsid w:val="00E115C7"/>
    <w:rsid w:val="00E11852"/>
    <w:rsid w:val="00E11B25"/>
    <w:rsid w:val="00E11F2E"/>
    <w:rsid w:val="00E120DD"/>
    <w:rsid w:val="00E122CD"/>
    <w:rsid w:val="00E1236F"/>
    <w:rsid w:val="00E12470"/>
    <w:rsid w:val="00E13737"/>
    <w:rsid w:val="00E138DB"/>
    <w:rsid w:val="00E139BB"/>
    <w:rsid w:val="00E14303"/>
    <w:rsid w:val="00E14522"/>
    <w:rsid w:val="00E14625"/>
    <w:rsid w:val="00E14C6F"/>
    <w:rsid w:val="00E1508F"/>
    <w:rsid w:val="00E1565C"/>
    <w:rsid w:val="00E15B45"/>
    <w:rsid w:val="00E15DF3"/>
    <w:rsid w:val="00E161F9"/>
    <w:rsid w:val="00E16811"/>
    <w:rsid w:val="00E168FA"/>
    <w:rsid w:val="00E16E5F"/>
    <w:rsid w:val="00E2239D"/>
    <w:rsid w:val="00E2286A"/>
    <w:rsid w:val="00E2302F"/>
    <w:rsid w:val="00E23B72"/>
    <w:rsid w:val="00E24804"/>
    <w:rsid w:val="00E25145"/>
    <w:rsid w:val="00E25361"/>
    <w:rsid w:val="00E27729"/>
    <w:rsid w:val="00E2782C"/>
    <w:rsid w:val="00E30113"/>
    <w:rsid w:val="00E3058B"/>
    <w:rsid w:val="00E31401"/>
    <w:rsid w:val="00E321AC"/>
    <w:rsid w:val="00E33635"/>
    <w:rsid w:val="00E3380C"/>
    <w:rsid w:val="00E33979"/>
    <w:rsid w:val="00E341FF"/>
    <w:rsid w:val="00E34536"/>
    <w:rsid w:val="00E35D40"/>
    <w:rsid w:val="00E364EE"/>
    <w:rsid w:val="00E365E1"/>
    <w:rsid w:val="00E3678A"/>
    <w:rsid w:val="00E373B7"/>
    <w:rsid w:val="00E37657"/>
    <w:rsid w:val="00E379BE"/>
    <w:rsid w:val="00E37CAA"/>
    <w:rsid w:val="00E403AA"/>
    <w:rsid w:val="00E40B22"/>
    <w:rsid w:val="00E40BF3"/>
    <w:rsid w:val="00E417E7"/>
    <w:rsid w:val="00E420AA"/>
    <w:rsid w:val="00E42416"/>
    <w:rsid w:val="00E42A68"/>
    <w:rsid w:val="00E435DB"/>
    <w:rsid w:val="00E43BBD"/>
    <w:rsid w:val="00E44980"/>
    <w:rsid w:val="00E45243"/>
    <w:rsid w:val="00E45256"/>
    <w:rsid w:val="00E468BC"/>
    <w:rsid w:val="00E46B22"/>
    <w:rsid w:val="00E47038"/>
    <w:rsid w:val="00E478ED"/>
    <w:rsid w:val="00E47AD3"/>
    <w:rsid w:val="00E47B9C"/>
    <w:rsid w:val="00E50657"/>
    <w:rsid w:val="00E50CE7"/>
    <w:rsid w:val="00E51601"/>
    <w:rsid w:val="00E524B4"/>
    <w:rsid w:val="00E52547"/>
    <w:rsid w:val="00E53C00"/>
    <w:rsid w:val="00E555D6"/>
    <w:rsid w:val="00E56004"/>
    <w:rsid w:val="00E56252"/>
    <w:rsid w:val="00E57100"/>
    <w:rsid w:val="00E6010D"/>
    <w:rsid w:val="00E60BD3"/>
    <w:rsid w:val="00E61267"/>
    <w:rsid w:val="00E61DF0"/>
    <w:rsid w:val="00E61E80"/>
    <w:rsid w:val="00E6226E"/>
    <w:rsid w:val="00E62B9A"/>
    <w:rsid w:val="00E631F4"/>
    <w:rsid w:val="00E633AE"/>
    <w:rsid w:val="00E63592"/>
    <w:rsid w:val="00E64332"/>
    <w:rsid w:val="00E6454A"/>
    <w:rsid w:val="00E64B56"/>
    <w:rsid w:val="00E65219"/>
    <w:rsid w:val="00E65524"/>
    <w:rsid w:val="00E65527"/>
    <w:rsid w:val="00E6708F"/>
    <w:rsid w:val="00E674FF"/>
    <w:rsid w:val="00E70620"/>
    <w:rsid w:val="00E7068A"/>
    <w:rsid w:val="00E70BD0"/>
    <w:rsid w:val="00E70C69"/>
    <w:rsid w:val="00E70DB8"/>
    <w:rsid w:val="00E714DA"/>
    <w:rsid w:val="00E723B2"/>
    <w:rsid w:val="00E72B77"/>
    <w:rsid w:val="00E72E99"/>
    <w:rsid w:val="00E730DF"/>
    <w:rsid w:val="00E73B3B"/>
    <w:rsid w:val="00E73E0C"/>
    <w:rsid w:val="00E74583"/>
    <w:rsid w:val="00E74797"/>
    <w:rsid w:val="00E74BBD"/>
    <w:rsid w:val="00E7536C"/>
    <w:rsid w:val="00E754EF"/>
    <w:rsid w:val="00E758D5"/>
    <w:rsid w:val="00E76A70"/>
    <w:rsid w:val="00E77A01"/>
    <w:rsid w:val="00E802AD"/>
    <w:rsid w:val="00E81AEC"/>
    <w:rsid w:val="00E8365B"/>
    <w:rsid w:val="00E84579"/>
    <w:rsid w:val="00E8552A"/>
    <w:rsid w:val="00E856A8"/>
    <w:rsid w:val="00E85CDC"/>
    <w:rsid w:val="00E86079"/>
    <w:rsid w:val="00E86238"/>
    <w:rsid w:val="00E8624D"/>
    <w:rsid w:val="00E863F0"/>
    <w:rsid w:val="00E867CF"/>
    <w:rsid w:val="00E86D5E"/>
    <w:rsid w:val="00E86ED2"/>
    <w:rsid w:val="00E87378"/>
    <w:rsid w:val="00E9004C"/>
    <w:rsid w:val="00E90F1A"/>
    <w:rsid w:val="00E9109F"/>
    <w:rsid w:val="00E91A54"/>
    <w:rsid w:val="00E92B6C"/>
    <w:rsid w:val="00E939FE"/>
    <w:rsid w:val="00E93B82"/>
    <w:rsid w:val="00E9448F"/>
    <w:rsid w:val="00E9540F"/>
    <w:rsid w:val="00E95BAC"/>
    <w:rsid w:val="00E96C97"/>
    <w:rsid w:val="00E96F58"/>
    <w:rsid w:val="00E97F71"/>
    <w:rsid w:val="00EA05D0"/>
    <w:rsid w:val="00EA066F"/>
    <w:rsid w:val="00EA10D7"/>
    <w:rsid w:val="00EA1EE6"/>
    <w:rsid w:val="00EA448F"/>
    <w:rsid w:val="00EA4802"/>
    <w:rsid w:val="00EA4B77"/>
    <w:rsid w:val="00EA56B8"/>
    <w:rsid w:val="00EA6FB2"/>
    <w:rsid w:val="00EA749E"/>
    <w:rsid w:val="00EA7CA9"/>
    <w:rsid w:val="00EA7D38"/>
    <w:rsid w:val="00EA7DCA"/>
    <w:rsid w:val="00EA7FD3"/>
    <w:rsid w:val="00EB05A2"/>
    <w:rsid w:val="00EB1366"/>
    <w:rsid w:val="00EB1939"/>
    <w:rsid w:val="00EB1E97"/>
    <w:rsid w:val="00EB1F26"/>
    <w:rsid w:val="00EB1FC4"/>
    <w:rsid w:val="00EB416C"/>
    <w:rsid w:val="00EB4515"/>
    <w:rsid w:val="00EB4A87"/>
    <w:rsid w:val="00EB4D2B"/>
    <w:rsid w:val="00EB73F7"/>
    <w:rsid w:val="00EB74E9"/>
    <w:rsid w:val="00EB75B4"/>
    <w:rsid w:val="00EB75CB"/>
    <w:rsid w:val="00EB778F"/>
    <w:rsid w:val="00EC0257"/>
    <w:rsid w:val="00EC054C"/>
    <w:rsid w:val="00EC0BCF"/>
    <w:rsid w:val="00EC0F19"/>
    <w:rsid w:val="00EC1D40"/>
    <w:rsid w:val="00EC2D52"/>
    <w:rsid w:val="00EC2F31"/>
    <w:rsid w:val="00EC3019"/>
    <w:rsid w:val="00EC3369"/>
    <w:rsid w:val="00EC3A58"/>
    <w:rsid w:val="00EC3CE8"/>
    <w:rsid w:val="00EC48FC"/>
    <w:rsid w:val="00EC5677"/>
    <w:rsid w:val="00EC6A6C"/>
    <w:rsid w:val="00EC6C41"/>
    <w:rsid w:val="00EC6F11"/>
    <w:rsid w:val="00EC7055"/>
    <w:rsid w:val="00EC7522"/>
    <w:rsid w:val="00EC76FE"/>
    <w:rsid w:val="00EC783C"/>
    <w:rsid w:val="00EC7D64"/>
    <w:rsid w:val="00ED01E5"/>
    <w:rsid w:val="00ED03EE"/>
    <w:rsid w:val="00ED0C41"/>
    <w:rsid w:val="00ED1284"/>
    <w:rsid w:val="00ED13C2"/>
    <w:rsid w:val="00ED15AC"/>
    <w:rsid w:val="00ED15FB"/>
    <w:rsid w:val="00ED19C0"/>
    <w:rsid w:val="00ED263D"/>
    <w:rsid w:val="00ED2684"/>
    <w:rsid w:val="00ED2973"/>
    <w:rsid w:val="00ED37F5"/>
    <w:rsid w:val="00ED3C52"/>
    <w:rsid w:val="00ED3F2C"/>
    <w:rsid w:val="00ED4879"/>
    <w:rsid w:val="00ED4A50"/>
    <w:rsid w:val="00ED4EFC"/>
    <w:rsid w:val="00ED5178"/>
    <w:rsid w:val="00ED5406"/>
    <w:rsid w:val="00ED56FA"/>
    <w:rsid w:val="00ED5D01"/>
    <w:rsid w:val="00ED6565"/>
    <w:rsid w:val="00ED68FF"/>
    <w:rsid w:val="00EE0B86"/>
    <w:rsid w:val="00EE10A0"/>
    <w:rsid w:val="00EE2E6D"/>
    <w:rsid w:val="00EE384B"/>
    <w:rsid w:val="00EE3B13"/>
    <w:rsid w:val="00EE3CDE"/>
    <w:rsid w:val="00EE3E28"/>
    <w:rsid w:val="00EE50DE"/>
    <w:rsid w:val="00EE54E9"/>
    <w:rsid w:val="00EE58E6"/>
    <w:rsid w:val="00EE5DE7"/>
    <w:rsid w:val="00EE5E53"/>
    <w:rsid w:val="00EE5F60"/>
    <w:rsid w:val="00EE6589"/>
    <w:rsid w:val="00EE6F92"/>
    <w:rsid w:val="00EE7034"/>
    <w:rsid w:val="00EE7807"/>
    <w:rsid w:val="00EE7F02"/>
    <w:rsid w:val="00EF0202"/>
    <w:rsid w:val="00EF034D"/>
    <w:rsid w:val="00EF04D9"/>
    <w:rsid w:val="00EF0732"/>
    <w:rsid w:val="00EF0883"/>
    <w:rsid w:val="00EF1262"/>
    <w:rsid w:val="00EF1BB7"/>
    <w:rsid w:val="00EF2192"/>
    <w:rsid w:val="00EF31A6"/>
    <w:rsid w:val="00EF32BA"/>
    <w:rsid w:val="00EF4187"/>
    <w:rsid w:val="00EF4364"/>
    <w:rsid w:val="00EF439D"/>
    <w:rsid w:val="00EF5712"/>
    <w:rsid w:val="00EF610F"/>
    <w:rsid w:val="00EF623E"/>
    <w:rsid w:val="00EF6645"/>
    <w:rsid w:val="00EF66DD"/>
    <w:rsid w:val="00EF67DD"/>
    <w:rsid w:val="00EF740A"/>
    <w:rsid w:val="00F004FE"/>
    <w:rsid w:val="00F010D6"/>
    <w:rsid w:val="00F010EE"/>
    <w:rsid w:val="00F0147C"/>
    <w:rsid w:val="00F01A0B"/>
    <w:rsid w:val="00F01DE5"/>
    <w:rsid w:val="00F026DE"/>
    <w:rsid w:val="00F040E7"/>
    <w:rsid w:val="00F04189"/>
    <w:rsid w:val="00F04AAC"/>
    <w:rsid w:val="00F04D75"/>
    <w:rsid w:val="00F05141"/>
    <w:rsid w:val="00F10D64"/>
    <w:rsid w:val="00F11223"/>
    <w:rsid w:val="00F13C6B"/>
    <w:rsid w:val="00F1459F"/>
    <w:rsid w:val="00F14B9C"/>
    <w:rsid w:val="00F1671D"/>
    <w:rsid w:val="00F16887"/>
    <w:rsid w:val="00F2021E"/>
    <w:rsid w:val="00F20B7A"/>
    <w:rsid w:val="00F2103E"/>
    <w:rsid w:val="00F21C19"/>
    <w:rsid w:val="00F220A9"/>
    <w:rsid w:val="00F22CC1"/>
    <w:rsid w:val="00F22EC5"/>
    <w:rsid w:val="00F23578"/>
    <w:rsid w:val="00F2386B"/>
    <w:rsid w:val="00F240E1"/>
    <w:rsid w:val="00F24184"/>
    <w:rsid w:val="00F2421A"/>
    <w:rsid w:val="00F24A24"/>
    <w:rsid w:val="00F2500B"/>
    <w:rsid w:val="00F2522B"/>
    <w:rsid w:val="00F256BC"/>
    <w:rsid w:val="00F25E7D"/>
    <w:rsid w:val="00F262DD"/>
    <w:rsid w:val="00F2671F"/>
    <w:rsid w:val="00F27577"/>
    <w:rsid w:val="00F301E2"/>
    <w:rsid w:val="00F314AE"/>
    <w:rsid w:val="00F32001"/>
    <w:rsid w:val="00F326D6"/>
    <w:rsid w:val="00F33CF5"/>
    <w:rsid w:val="00F34831"/>
    <w:rsid w:val="00F35F11"/>
    <w:rsid w:val="00F376B3"/>
    <w:rsid w:val="00F401B7"/>
    <w:rsid w:val="00F412C2"/>
    <w:rsid w:val="00F41423"/>
    <w:rsid w:val="00F41887"/>
    <w:rsid w:val="00F41ADD"/>
    <w:rsid w:val="00F4224D"/>
    <w:rsid w:val="00F42288"/>
    <w:rsid w:val="00F427C7"/>
    <w:rsid w:val="00F42937"/>
    <w:rsid w:val="00F42CA0"/>
    <w:rsid w:val="00F43761"/>
    <w:rsid w:val="00F43A6E"/>
    <w:rsid w:val="00F4460C"/>
    <w:rsid w:val="00F45794"/>
    <w:rsid w:val="00F459AF"/>
    <w:rsid w:val="00F46E2F"/>
    <w:rsid w:val="00F5007D"/>
    <w:rsid w:val="00F501F8"/>
    <w:rsid w:val="00F504DB"/>
    <w:rsid w:val="00F50E7B"/>
    <w:rsid w:val="00F516D2"/>
    <w:rsid w:val="00F51C23"/>
    <w:rsid w:val="00F51D67"/>
    <w:rsid w:val="00F51F59"/>
    <w:rsid w:val="00F52DD3"/>
    <w:rsid w:val="00F54AA3"/>
    <w:rsid w:val="00F54F15"/>
    <w:rsid w:val="00F5728D"/>
    <w:rsid w:val="00F57548"/>
    <w:rsid w:val="00F57654"/>
    <w:rsid w:val="00F609F1"/>
    <w:rsid w:val="00F60F2E"/>
    <w:rsid w:val="00F6194A"/>
    <w:rsid w:val="00F61D65"/>
    <w:rsid w:val="00F62506"/>
    <w:rsid w:val="00F6348F"/>
    <w:rsid w:val="00F65A6F"/>
    <w:rsid w:val="00F66B6F"/>
    <w:rsid w:val="00F66FA5"/>
    <w:rsid w:val="00F672B3"/>
    <w:rsid w:val="00F67C2B"/>
    <w:rsid w:val="00F70043"/>
    <w:rsid w:val="00F7092C"/>
    <w:rsid w:val="00F70C98"/>
    <w:rsid w:val="00F70DFE"/>
    <w:rsid w:val="00F7104F"/>
    <w:rsid w:val="00F713FF"/>
    <w:rsid w:val="00F71576"/>
    <w:rsid w:val="00F718F8"/>
    <w:rsid w:val="00F71B23"/>
    <w:rsid w:val="00F71D7E"/>
    <w:rsid w:val="00F7213C"/>
    <w:rsid w:val="00F7301E"/>
    <w:rsid w:val="00F73351"/>
    <w:rsid w:val="00F733C0"/>
    <w:rsid w:val="00F73504"/>
    <w:rsid w:val="00F735C5"/>
    <w:rsid w:val="00F735E6"/>
    <w:rsid w:val="00F73F75"/>
    <w:rsid w:val="00F740A4"/>
    <w:rsid w:val="00F740C7"/>
    <w:rsid w:val="00F743B4"/>
    <w:rsid w:val="00F75C03"/>
    <w:rsid w:val="00F75E90"/>
    <w:rsid w:val="00F75EC4"/>
    <w:rsid w:val="00F7663D"/>
    <w:rsid w:val="00F76987"/>
    <w:rsid w:val="00F76C8E"/>
    <w:rsid w:val="00F772C7"/>
    <w:rsid w:val="00F80BAB"/>
    <w:rsid w:val="00F80F18"/>
    <w:rsid w:val="00F81A67"/>
    <w:rsid w:val="00F81F36"/>
    <w:rsid w:val="00F81F4C"/>
    <w:rsid w:val="00F829E0"/>
    <w:rsid w:val="00F82F32"/>
    <w:rsid w:val="00F85D94"/>
    <w:rsid w:val="00F86030"/>
    <w:rsid w:val="00F867CB"/>
    <w:rsid w:val="00F91FB8"/>
    <w:rsid w:val="00F92160"/>
    <w:rsid w:val="00F92320"/>
    <w:rsid w:val="00F9266C"/>
    <w:rsid w:val="00F9374F"/>
    <w:rsid w:val="00F95BBD"/>
    <w:rsid w:val="00F97A20"/>
    <w:rsid w:val="00F97EC2"/>
    <w:rsid w:val="00FA1315"/>
    <w:rsid w:val="00FA22BC"/>
    <w:rsid w:val="00FA257F"/>
    <w:rsid w:val="00FA27E0"/>
    <w:rsid w:val="00FA2A5D"/>
    <w:rsid w:val="00FA4670"/>
    <w:rsid w:val="00FA48EF"/>
    <w:rsid w:val="00FA4B6C"/>
    <w:rsid w:val="00FA4E95"/>
    <w:rsid w:val="00FA51AB"/>
    <w:rsid w:val="00FA7086"/>
    <w:rsid w:val="00FA7497"/>
    <w:rsid w:val="00FA7563"/>
    <w:rsid w:val="00FA7D1E"/>
    <w:rsid w:val="00FA7D9B"/>
    <w:rsid w:val="00FB042D"/>
    <w:rsid w:val="00FB05EA"/>
    <w:rsid w:val="00FB1457"/>
    <w:rsid w:val="00FB1A25"/>
    <w:rsid w:val="00FB308C"/>
    <w:rsid w:val="00FB3E97"/>
    <w:rsid w:val="00FB44CC"/>
    <w:rsid w:val="00FB44D8"/>
    <w:rsid w:val="00FB46A2"/>
    <w:rsid w:val="00FB4B27"/>
    <w:rsid w:val="00FB5068"/>
    <w:rsid w:val="00FB5FAE"/>
    <w:rsid w:val="00FB5FE8"/>
    <w:rsid w:val="00FB6947"/>
    <w:rsid w:val="00FB70C6"/>
    <w:rsid w:val="00FB7207"/>
    <w:rsid w:val="00FB78FB"/>
    <w:rsid w:val="00FB7994"/>
    <w:rsid w:val="00FB7F4E"/>
    <w:rsid w:val="00FC052C"/>
    <w:rsid w:val="00FC0A30"/>
    <w:rsid w:val="00FC0C30"/>
    <w:rsid w:val="00FC12DA"/>
    <w:rsid w:val="00FC14E1"/>
    <w:rsid w:val="00FC1618"/>
    <w:rsid w:val="00FC1EF6"/>
    <w:rsid w:val="00FC2890"/>
    <w:rsid w:val="00FC3073"/>
    <w:rsid w:val="00FC4214"/>
    <w:rsid w:val="00FC45EA"/>
    <w:rsid w:val="00FC4A34"/>
    <w:rsid w:val="00FC4D6C"/>
    <w:rsid w:val="00FC52A6"/>
    <w:rsid w:val="00FC57B5"/>
    <w:rsid w:val="00FC6511"/>
    <w:rsid w:val="00FC670F"/>
    <w:rsid w:val="00FC70D1"/>
    <w:rsid w:val="00FC7645"/>
    <w:rsid w:val="00FC77A6"/>
    <w:rsid w:val="00FD0411"/>
    <w:rsid w:val="00FD0EED"/>
    <w:rsid w:val="00FD2048"/>
    <w:rsid w:val="00FD377D"/>
    <w:rsid w:val="00FD3924"/>
    <w:rsid w:val="00FD3EAE"/>
    <w:rsid w:val="00FD3EFE"/>
    <w:rsid w:val="00FD44F3"/>
    <w:rsid w:val="00FD4D52"/>
    <w:rsid w:val="00FD5056"/>
    <w:rsid w:val="00FD6F04"/>
    <w:rsid w:val="00FD749D"/>
    <w:rsid w:val="00FD75F4"/>
    <w:rsid w:val="00FD7814"/>
    <w:rsid w:val="00FD7F3C"/>
    <w:rsid w:val="00FE030A"/>
    <w:rsid w:val="00FE20DF"/>
    <w:rsid w:val="00FE3593"/>
    <w:rsid w:val="00FE4105"/>
    <w:rsid w:val="00FE42C0"/>
    <w:rsid w:val="00FE481F"/>
    <w:rsid w:val="00FE4A6D"/>
    <w:rsid w:val="00FE4AC9"/>
    <w:rsid w:val="00FE4FBE"/>
    <w:rsid w:val="00FE516F"/>
    <w:rsid w:val="00FE61E7"/>
    <w:rsid w:val="00FE662D"/>
    <w:rsid w:val="00FE71C6"/>
    <w:rsid w:val="00FE71FA"/>
    <w:rsid w:val="00FE7490"/>
    <w:rsid w:val="00FF24F8"/>
    <w:rsid w:val="00FF2AB9"/>
    <w:rsid w:val="00FF2DD7"/>
    <w:rsid w:val="00FF367F"/>
    <w:rsid w:val="00FF45C2"/>
    <w:rsid w:val="00FF46BD"/>
    <w:rsid w:val="00FF494D"/>
    <w:rsid w:val="00FF4BAD"/>
    <w:rsid w:val="00FF5021"/>
    <w:rsid w:val="00FF5F06"/>
    <w:rsid w:val="00FF6046"/>
    <w:rsid w:val="00FF7011"/>
    <w:rsid w:val="00FF73BD"/>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89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65AA5"/>
    <w:rPr>
      <w:sz w:val="24"/>
      <w:szCs w:val="24"/>
      <w:lang w:val="fr-FR"/>
    </w:rPr>
  </w:style>
  <w:style w:type="paragraph" w:styleId="Ttulo1">
    <w:name w:val="heading 1"/>
    <w:basedOn w:val="Normal"/>
    <w:next w:val="Normal"/>
    <w:link w:val="Ttulo1Car"/>
    <w:qFormat/>
    <w:rsid w:val="00D55581"/>
    <w:pPr>
      <w:keepNext/>
      <w:numPr>
        <w:numId w:val="8"/>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Ttulo2">
    <w:name w:val="heading 2"/>
    <w:basedOn w:val="Style1"/>
    <w:next w:val="Normal"/>
    <w:link w:val="Ttulo2Car"/>
    <w:qFormat/>
    <w:rsid w:val="003C1E76"/>
    <w:pPr>
      <w:numPr>
        <w:ilvl w:val="1"/>
        <w:numId w:val="8"/>
      </w:numPr>
      <w:spacing w:before="360" w:after="240"/>
      <w:ind w:left="547" w:hanging="547"/>
      <w:jc w:val="left"/>
      <w:outlineLvl w:val="1"/>
    </w:pPr>
    <w:rPr>
      <w:sz w:val="28"/>
      <w:szCs w:val="28"/>
    </w:rPr>
  </w:style>
  <w:style w:type="paragraph" w:styleId="Ttulo3">
    <w:name w:val="heading 3"/>
    <w:basedOn w:val="Ttulo2"/>
    <w:next w:val="Normal"/>
    <w:link w:val="Ttulo3Car"/>
    <w:qFormat/>
    <w:rsid w:val="00C967EA"/>
    <w:pPr>
      <w:numPr>
        <w:ilvl w:val="2"/>
      </w:numPr>
      <w:ind w:left="1094" w:hanging="547"/>
      <w:outlineLvl w:val="2"/>
    </w:pPr>
    <w:rPr>
      <w:i w:val="0"/>
      <w:sz w:val="24"/>
    </w:rPr>
  </w:style>
  <w:style w:type="paragraph" w:styleId="Ttulo4">
    <w:name w:val="heading 4"/>
    <w:basedOn w:val="Ttulo3"/>
    <w:next w:val="Ttulo5"/>
    <w:link w:val="Ttulo4Car"/>
    <w:qFormat/>
    <w:rsid w:val="00804326"/>
    <w:pPr>
      <w:numPr>
        <w:ilvl w:val="3"/>
      </w:numPr>
      <w:ind w:left="1094" w:hanging="547"/>
      <w:outlineLvl w:val="3"/>
    </w:pPr>
  </w:style>
  <w:style w:type="paragraph" w:styleId="Ttulo5">
    <w:name w:val="heading 5"/>
    <w:basedOn w:val="Ttulo4"/>
    <w:link w:val="Ttulo5Car"/>
    <w:qFormat/>
    <w:rsid w:val="00804326"/>
    <w:pPr>
      <w:numPr>
        <w:ilvl w:val="4"/>
      </w:numPr>
      <w:ind w:left="1094" w:hanging="547"/>
      <w:outlineLvl w:val="4"/>
    </w:pPr>
    <w:rPr>
      <w:sz w:val="22"/>
    </w:rPr>
  </w:style>
  <w:style w:type="paragraph" w:styleId="Ttulo6">
    <w:name w:val="heading 6"/>
    <w:basedOn w:val="Normal"/>
    <w:next w:val="Normal"/>
    <w:link w:val="Ttulo6Car"/>
    <w:semiHidden/>
    <w:unhideWhenUsed/>
    <w:qFormat/>
    <w:rsid w:val="00C95A96"/>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2B92"/>
    <w:rPr>
      <w:rFonts w:asciiTheme="majorHAnsi" w:hAnsiTheme="majorHAnsi" w:cs="Arial"/>
      <w:b/>
      <w:bCs/>
      <w:color w:val="4A442A" w:themeColor="background2" w:themeShade="40"/>
      <w:kern w:val="32"/>
      <w:sz w:val="32"/>
      <w:szCs w:val="32"/>
      <w:lang w:val="es-ES"/>
    </w:rPr>
  </w:style>
  <w:style w:type="paragraph" w:customStyle="1" w:styleId="Style1">
    <w:name w:val="Style1"/>
    <w:basedOn w:val="Normal"/>
    <w:link w:val="Style1Char"/>
    <w:rsid w:val="00387E3F"/>
    <w:pPr>
      <w:ind w:left="2250" w:hanging="360"/>
      <w:jc w:val="both"/>
    </w:pPr>
    <w:rPr>
      <w:rFonts w:ascii="Cambria" w:hAnsi="Cambria"/>
      <w:b/>
      <w:i/>
      <w:sz w:val="20"/>
      <w:szCs w:val="20"/>
      <w:lang w:val="es-ES"/>
    </w:rPr>
  </w:style>
  <w:style w:type="character" w:customStyle="1" w:styleId="Style1Char">
    <w:name w:val="Style1 Char"/>
    <w:link w:val="Style1"/>
    <w:rsid w:val="00387E3F"/>
    <w:rPr>
      <w:rFonts w:ascii="Cambria" w:hAnsi="Cambria"/>
      <w:b/>
      <w:i/>
      <w:lang w:val="es-ES"/>
    </w:rPr>
  </w:style>
  <w:style w:type="character" w:customStyle="1" w:styleId="Ttulo2Car">
    <w:name w:val="Título 2 Car"/>
    <w:link w:val="Ttulo2"/>
    <w:rsid w:val="003C1E76"/>
    <w:rPr>
      <w:rFonts w:ascii="Cambria" w:hAnsi="Cambria"/>
      <w:b/>
      <w:i/>
      <w:sz w:val="28"/>
      <w:szCs w:val="28"/>
      <w:lang w:val="es-ES"/>
    </w:rPr>
  </w:style>
  <w:style w:type="character" w:customStyle="1" w:styleId="Ttulo3Car">
    <w:name w:val="Título 3 Car"/>
    <w:link w:val="Ttulo3"/>
    <w:rsid w:val="00C967EA"/>
    <w:rPr>
      <w:rFonts w:ascii="Cambria" w:hAnsi="Cambria"/>
      <w:b/>
      <w:sz w:val="24"/>
      <w:szCs w:val="28"/>
      <w:lang w:val="es-ES"/>
    </w:rPr>
  </w:style>
  <w:style w:type="character" w:customStyle="1" w:styleId="Ttulo5Car">
    <w:name w:val="Título 5 Car"/>
    <w:basedOn w:val="Style4Char"/>
    <w:link w:val="Ttulo5"/>
    <w:rsid w:val="00804326"/>
    <w:rPr>
      <w:rFonts w:ascii="Cambria" w:hAnsi="Cambria" w:cs="Tahoma"/>
      <w:b/>
      <w:sz w:val="22"/>
      <w:szCs w:val="28"/>
      <w:lang w:val="es-ES"/>
    </w:rPr>
  </w:style>
  <w:style w:type="character" w:customStyle="1" w:styleId="Style4Char">
    <w:name w:val="Style4 Char"/>
    <w:basedOn w:val="PrrafodelistaCar"/>
    <w:link w:val="Style4"/>
    <w:rsid w:val="00F71D7E"/>
    <w:rPr>
      <w:rFonts w:ascii="Cambria" w:hAnsi="Cambria" w:cs="Tahoma"/>
      <w:b/>
      <w:sz w:val="24"/>
      <w:szCs w:val="24"/>
      <w:lang w:val="es-ES"/>
    </w:rPr>
  </w:style>
  <w:style w:type="character" w:customStyle="1" w:styleId="PrrafodelistaCar">
    <w:name w:val="Párrafo de lista Car"/>
    <w:aliases w:val="Parragrap Car"/>
    <w:link w:val="Prrafodelista"/>
    <w:uiPriority w:val="34"/>
    <w:locked/>
    <w:rsid w:val="00D25002"/>
    <w:rPr>
      <w:sz w:val="24"/>
      <w:szCs w:val="24"/>
      <w:lang w:val="fr-FR"/>
    </w:rPr>
  </w:style>
  <w:style w:type="paragraph" w:styleId="Prrafodelista">
    <w:name w:val="List Paragraph"/>
    <w:aliases w:val="Parragrap"/>
    <w:basedOn w:val="Normal"/>
    <w:link w:val="PrrafodelistaCar"/>
    <w:uiPriority w:val="34"/>
    <w:qFormat/>
    <w:rsid w:val="00291B6D"/>
    <w:pPr>
      <w:ind w:left="720"/>
    </w:pPr>
  </w:style>
  <w:style w:type="paragraph" w:customStyle="1" w:styleId="Style4">
    <w:name w:val="Style4"/>
    <w:basedOn w:val="Prrafodelista"/>
    <w:link w:val="Style4Char"/>
    <w:rsid w:val="00F71D7E"/>
    <w:pPr>
      <w:ind w:left="1094" w:hanging="547"/>
      <w:jc w:val="both"/>
      <w:outlineLvl w:val="3"/>
    </w:pPr>
    <w:rPr>
      <w:rFonts w:ascii="Cambria" w:hAnsi="Cambria" w:cs="Tahoma"/>
      <w:b/>
      <w:sz w:val="20"/>
      <w:szCs w:val="20"/>
      <w:lang w:val="es-ES"/>
    </w:rPr>
  </w:style>
  <w:style w:type="character" w:customStyle="1" w:styleId="Ttulo4Car">
    <w:name w:val="Título 4 Car"/>
    <w:basedOn w:val="Fuentedeprrafopredeter"/>
    <w:link w:val="Ttulo4"/>
    <w:rsid w:val="00804326"/>
    <w:rPr>
      <w:rFonts w:ascii="Cambria" w:hAnsi="Cambria"/>
      <w:b/>
      <w:sz w:val="24"/>
      <w:szCs w:val="28"/>
      <w:lang w:val="es-ES"/>
    </w:rPr>
  </w:style>
  <w:style w:type="character" w:customStyle="1" w:styleId="Ttulo6Car">
    <w:name w:val="Título 6 Car"/>
    <w:link w:val="Ttulo6"/>
    <w:semiHidden/>
    <w:rsid w:val="00C95A96"/>
    <w:rPr>
      <w:rFonts w:ascii="Calibri" w:eastAsia="Times New Roman" w:hAnsi="Calibri" w:cs="Times New Roman"/>
      <w:b/>
      <w:bCs/>
      <w:sz w:val="22"/>
      <w:szCs w:val="22"/>
      <w:lang w:val="fr-FR"/>
    </w:rPr>
  </w:style>
  <w:style w:type="paragraph" w:styleId="Textonotapie">
    <w:name w:val="footnote text"/>
    <w:aliases w:val="Footnote Text Char Char Char Char Char,Footnote Text Char Char Char Char,footnote text,Footnote reference,FA Fu,Footnote Text Char Char Char,Footnote Text Cha,FA Fußnotentext,FA Fuﬂnotentext,Texto nota pie Car,Footnote Text Char Char,Ca"/>
    <w:basedOn w:val="Normal"/>
    <w:link w:val="TextonotapieCar1"/>
    <w:uiPriority w:val="99"/>
    <w:qFormat/>
    <w:rsid w:val="007339B2"/>
    <w:rPr>
      <w:sz w:val="20"/>
      <w:szCs w:val="20"/>
    </w:rPr>
  </w:style>
  <w:style w:type="character" w:customStyle="1" w:styleId="TextonotapieCar1">
    <w:name w:val="Texto nota pie Car1"/>
    <w:aliases w:val="Footnote Text Char Char Char Char Char Car,Footnote Text Char Char Char Char Car,footnote text Car,Footnote reference Car,FA Fu Car,Footnote Text Char Char Char Car,Footnote Text Cha Car,FA Fußnotentext Car,FA Fuﬂnotentext Car,Ca Car"/>
    <w:link w:val="Textonotapie"/>
    <w:uiPriority w:val="99"/>
    <w:locked/>
    <w:rsid w:val="00572CB8"/>
    <w:rPr>
      <w:lang w:val="fr-FR" w:eastAsia="en-US" w:bidi="ar-SA"/>
    </w:rPr>
  </w:style>
  <w:style w:type="character" w:styleId="Refdenotaalpie">
    <w:name w:val="footnote reference"/>
    <w:aliases w:val="Footnotes refss,Texto de nota al pie,Appel note de bas de page,f,Ref,de nota al pie,normal,Footnote number,referencia nota al pie,BVI fnr,4_G,16 Point,Superscript 6 Point,Ref. de nota al pie.,Footnote symbol,Footnote"/>
    <w:link w:val="Char2"/>
    <w:uiPriority w:val="99"/>
    <w:qFormat/>
    <w:rsid w:val="007339B2"/>
    <w:rPr>
      <w:vertAlign w:val="superscript"/>
    </w:rPr>
  </w:style>
  <w:style w:type="paragraph" w:customStyle="1" w:styleId="Char2">
    <w:name w:val="Char2"/>
    <w:basedOn w:val="Normal"/>
    <w:link w:val="Refdenotaalpie"/>
    <w:uiPriority w:val="99"/>
    <w:rsid w:val="00D47909"/>
    <w:pPr>
      <w:spacing w:after="160" w:line="240" w:lineRule="exact"/>
    </w:pPr>
    <w:rPr>
      <w:sz w:val="20"/>
      <w:szCs w:val="20"/>
      <w:vertAlign w:val="superscript"/>
      <w:lang w:val="en-US"/>
    </w:rPr>
  </w:style>
  <w:style w:type="paragraph" w:styleId="Piedepgina">
    <w:name w:val="footer"/>
    <w:basedOn w:val="Normal"/>
    <w:link w:val="PiedepginaCar"/>
    <w:uiPriority w:val="99"/>
    <w:rsid w:val="006B11FA"/>
    <w:pPr>
      <w:tabs>
        <w:tab w:val="center" w:pos="4320"/>
        <w:tab w:val="right" w:pos="8640"/>
      </w:tabs>
    </w:pPr>
  </w:style>
  <w:style w:type="character" w:customStyle="1" w:styleId="PiedepginaCar">
    <w:name w:val="Pie de página Car"/>
    <w:link w:val="Piedepgina"/>
    <w:uiPriority w:val="99"/>
    <w:rsid w:val="007F3D76"/>
    <w:rPr>
      <w:sz w:val="24"/>
      <w:szCs w:val="24"/>
      <w:lang w:val="fr-FR"/>
    </w:rPr>
  </w:style>
  <w:style w:type="character" w:styleId="Nmerodepgina">
    <w:name w:val="page number"/>
    <w:basedOn w:val="Fuentedeprrafopredeter"/>
    <w:rsid w:val="006B11FA"/>
  </w:style>
  <w:style w:type="paragraph" w:styleId="Ttulo">
    <w:name w:val="Title"/>
    <w:basedOn w:val="Normal"/>
    <w:rsid w:val="00205470"/>
    <w:pPr>
      <w:spacing w:before="100" w:beforeAutospacing="1" w:after="100" w:afterAutospacing="1"/>
    </w:pPr>
    <w:rPr>
      <w:lang w:val="en-US"/>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2B5EBF"/>
    <w:pPr>
      <w:spacing w:before="100" w:beforeAutospacing="1" w:after="100" w:afterAutospacing="1"/>
    </w:pPr>
    <w:rPr>
      <w:lang w:val="en-US"/>
    </w:rPr>
  </w:style>
  <w:style w:type="character" w:customStyle="1" w:styleId="style65">
    <w:name w:val="style65"/>
    <w:rsid w:val="00C46CB3"/>
    <w:rPr>
      <w:rFonts w:ascii="Arial" w:hAnsi="Arial" w:cs="Arial" w:hint="default"/>
      <w:b/>
      <w:bCs/>
      <w:color w:val="999999"/>
      <w:sz w:val="24"/>
      <w:szCs w:val="24"/>
    </w:rPr>
  </w:style>
  <w:style w:type="paragraph" w:styleId="Textodeglobo">
    <w:name w:val="Balloon Text"/>
    <w:basedOn w:val="Normal"/>
    <w:link w:val="TextodegloboCar"/>
    <w:uiPriority w:val="99"/>
    <w:semiHidden/>
    <w:rsid w:val="00572CB8"/>
    <w:rPr>
      <w:rFonts w:ascii="Tahoma" w:hAnsi="Tahoma" w:cs="Tahoma"/>
      <w:sz w:val="16"/>
      <w:szCs w:val="16"/>
    </w:rPr>
  </w:style>
  <w:style w:type="character" w:customStyle="1" w:styleId="TextodegloboCar">
    <w:name w:val="Texto de globo Car"/>
    <w:link w:val="Textodeglobo"/>
    <w:uiPriority w:val="99"/>
    <w:semiHidden/>
    <w:rsid w:val="00306198"/>
    <w:rPr>
      <w:rFonts w:ascii="Tahoma" w:hAnsi="Tahoma" w:cs="Tahoma"/>
      <w:sz w:val="16"/>
      <w:szCs w:val="16"/>
      <w:lang w:val="fr-FR"/>
    </w:rPr>
  </w:style>
  <w:style w:type="character" w:styleId="Hipervnculo">
    <w:name w:val="Hyperlink"/>
    <w:uiPriority w:val="99"/>
    <w:rsid w:val="001F33F6"/>
    <w:rPr>
      <w:color w:val="0000FF"/>
      <w:u w:val="single"/>
    </w:rPr>
  </w:style>
  <w:style w:type="character" w:styleId="Textoennegrita">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Sangra2detindependiente">
    <w:name w:val="Body Text Indent 2"/>
    <w:basedOn w:val="Normal"/>
    <w:rsid w:val="00641865"/>
    <w:pPr>
      <w:widowControl w:val="0"/>
      <w:ind w:firstLine="720"/>
      <w:jc w:val="both"/>
    </w:pPr>
    <w:rPr>
      <w:rFonts w:ascii="Univers" w:hAnsi="Univers"/>
      <w:snapToGrid w:val="0"/>
      <w:sz w:val="22"/>
      <w:szCs w:val="20"/>
      <w:lang w:val="es-ES"/>
    </w:rPr>
  </w:style>
  <w:style w:type="paragraph" w:styleId="Encabezado">
    <w:name w:val="header"/>
    <w:basedOn w:val="Normal"/>
    <w:link w:val="EncabezadoCar"/>
    <w:uiPriority w:val="99"/>
    <w:rsid w:val="000F6EA7"/>
    <w:pPr>
      <w:tabs>
        <w:tab w:val="center" w:pos="4320"/>
        <w:tab w:val="right" w:pos="8640"/>
      </w:tabs>
    </w:pPr>
  </w:style>
  <w:style w:type="character" w:customStyle="1" w:styleId="EncabezadoCar">
    <w:name w:val="Encabezado Car"/>
    <w:link w:val="Encabezado"/>
    <w:uiPriority w:val="99"/>
    <w:rsid w:val="002A0750"/>
    <w:rPr>
      <w:sz w:val="24"/>
      <w:szCs w:val="24"/>
      <w:lang w:val="fr-FR"/>
    </w:r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paragraph" w:customStyle="1" w:styleId="Style2">
    <w:name w:val="Style2"/>
    <w:basedOn w:val="Normal"/>
    <w:link w:val="Style2Char"/>
    <w:rsid w:val="00F6348F"/>
    <w:pPr>
      <w:tabs>
        <w:tab w:val="num" w:pos="1440"/>
      </w:tabs>
      <w:ind w:left="1440" w:hanging="720"/>
      <w:jc w:val="both"/>
    </w:pPr>
    <w:rPr>
      <w:rFonts w:ascii="Cambria" w:hAnsi="Cambria"/>
      <w:b/>
      <w:sz w:val="20"/>
      <w:szCs w:val="20"/>
      <w:lang w:val="es-ES"/>
    </w:rPr>
  </w:style>
  <w:style w:type="character" w:customStyle="1" w:styleId="Style2Char">
    <w:name w:val="Style2 Char"/>
    <w:link w:val="Style2"/>
    <w:rsid w:val="00F6348F"/>
    <w:rPr>
      <w:rFonts w:ascii="Cambria" w:hAnsi="Cambria"/>
      <w:b/>
      <w:lang w:val="es-ES"/>
    </w:rPr>
  </w:style>
  <w:style w:type="paragraph" w:styleId="TDC1">
    <w:name w:val="toc 1"/>
    <w:basedOn w:val="Normal"/>
    <w:next w:val="Normal"/>
    <w:autoRedefine/>
    <w:uiPriority w:val="39"/>
    <w:rsid w:val="000B41BC"/>
    <w:pPr>
      <w:pBdr>
        <w:bottom w:val="single" w:sz="4" w:space="1" w:color="7F7F7F" w:themeColor="text1" w:themeTint="80"/>
      </w:pBdr>
      <w:tabs>
        <w:tab w:val="right" w:pos="7622"/>
      </w:tabs>
      <w:spacing w:before="360" w:after="120"/>
    </w:pPr>
    <w:rPr>
      <w:rFonts w:asciiTheme="majorHAnsi" w:hAnsiTheme="majorHAnsi"/>
      <w:b/>
      <w:bCs/>
      <w:noProof/>
      <w:color w:val="7F7F7F" w:themeColor="text1" w:themeTint="80"/>
      <w:szCs w:val="18"/>
    </w:rPr>
  </w:style>
  <w:style w:type="paragraph" w:styleId="TDC2">
    <w:name w:val="toc 2"/>
    <w:basedOn w:val="Normal"/>
    <w:next w:val="Normal"/>
    <w:autoRedefine/>
    <w:uiPriority w:val="39"/>
    <w:rsid w:val="00B33A68"/>
    <w:pPr>
      <w:tabs>
        <w:tab w:val="left" w:pos="270"/>
        <w:tab w:val="right" w:pos="7622"/>
      </w:tabs>
      <w:spacing w:before="120"/>
    </w:pPr>
    <w:rPr>
      <w:rFonts w:asciiTheme="minorHAnsi" w:hAnsiTheme="minorHAnsi"/>
      <w:i/>
      <w:iCs/>
      <w:sz w:val="20"/>
      <w:szCs w:val="20"/>
    </w:rPr>
  </w:style>
  <w:style w:type="character" w:customStyle="1" w:styleId="apple-converted-space">
    <w:name w:val="apple-converted-space"/>
    <w:basedOn w:val="Fuentedeprrafopredeter"/>
    <w:rsid w:val="006F19D7"/>
  </w:style>
  <w:style w:type="character" w:customStyle="1" w:styleId="typewriter">
    <w:name w:val="typewriter"/>
    <w:rsid w:val="00C95A96"/>
    <w:rPr>
      <w:rFonts w:ascii="Courier New" w:hAnsi="Courier New" w:cs="Courier New" w:hint="default"/>
    </w:rPr>
  </w:style>
  <w:style w:type="paragraph" w:customStyle="1" w:styleId="Style3">
    <w:name w:val="Style3"/>
    <w:basedOn w:val="Style1"/>
    <w:link w:val="Style3Char"/>
    <w:rsid w:val="00E15B45"/>
    <w:p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Hipervnculovisitado">
    <w:name w:val="FollowedHyperlink"/>
    <w:rsid w:val="00313AC0"/>
    <w:rPr>
      <w:color w:val="800080"/>
      <w:u w:val="single"/>
    </w:rPr>
  </w:style>
  <w:style w:type="paragraph" w:styleId="Textosinformato">
    <w:name w:val="Plain Text"/>
    <w:basedOn w:val="Normal"/>
    <w:link w:val="TextosinformatoCar"/>
    <w:uiPriority w:val="99"/>
    <w:unhideWhenUsed/>
    <w:rsid w:val="00906279"/>
    <w:rPr>
      <w:rFonts w:ascii="Calibri" w:eastAsia="Calibri" w:hAnsi="Calibri" w:cs="Consolas"/>
      <w:sz w:val="22"/>
      <w:szCs w:val="21"/>
      <w:lang w:val="en-US"/>
    </w:rPr>
  </w:style>
  <w:style w:type="character" w:customStyle="1" w:styleId="TextosinformatoCar">
    <w:name w:val="Texto sin formato Car"/>
    <w:link w:val="Textosinformato"/>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nfasis">
    <w:name w:val="Emphasis"/>
    <w:uiPriority w:val="20"/>
    <w:qFormat/>
    <w:rsid w:val="004E6921"/>
    <w:rPr>
      <w:i/>
      <w:iCs/>
    </w:rPr>
  </w:style>
  <w:style w:type="character" w:customStyle="1" w:styleId="apple-style-span">
    <w:name w:val="apple-style-span"/>
    <w:rsid w:val="00D25002"/>
  </w:style>
  <w:style w:type="paragraph" w:styleId="Sinespaciado">
    <w:name w:val="No Spacing"/>
    <w:uiPriority w:val="1"/>
    <w:qFormat/>
    <w:rsid w:val="00052F7C"/>
    <w:rPr>
      <w:rFonts w:ascii="Calibri" w:eastAsia="Calibri" w:hAnsi="Calibri"/>
      <w:sz w:val="22"/>
      <w:szCs w:val="22"/>
    </w:rPr>
  </w:style>
  <w:style w:type="character" w:styleId="Textodelmarcadordeposicin">
    <w:name w:val="Placeholder Text"/>
    <w:basedOn w:val="Fuentedeprrafopredeter"/>
    <w:uiPriority w:val="99"/>
    <w:semiHidden/>
    <w:rsid w:val="00F75EC4"/>
    <w:rPr>
      <w:color w:val="808080"/>
    </w:rPr>
  </w:style>
  <w:style w:type="paragraph" w:styleId="Descripci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Fuentedeprrafopredeter"/>
    <w:rsid w:val="001E3805"/>
    <w:rPr>
      <w:b/>
      <w:bCs/>
      <w:sz w:val="29"/>
      <w:szCs w:val="29"/>
    </w:rPr>
  </w:style>
  <w:style w:type="character" w:styleId="Refdecomentario">
    <w:name w:val="annotation reference"/>
    <w:uiPriority w:val="99"/>
    <w:unhideWhenUsed/>
    <w:rsid w:val="00995677"/>
    <w:rPr>
      <w:sz w:val="18"/>
      <w:szCs w:val="18"/>
    </w:rPr>
  </w:style>
  <w:style w:type="paragraph" w:styleId="Textocomentario">
    <w:name w:val="annotation text"/>
    <w:basedOn w:val="Normal"/>
    <w:link w:val="TextocomentarioCar"/>
    <w:uiPriority w:val="99"/>
    <w:unhideWhenUsed/>
    <w:rsid w:val="00995677"/>
    <w:pPr>
      <w:spacing w:after="200" w:line="276" w:lineRule="auto"/>
    </w:pPr>
    <w:rPr>
      <w:rFonts w:ascii="Calibri" w:eastAsia="Calibri" w:hAnsi="Calibri"/>
      <w:lang w:val="en-US"/>
    </w:rPr>
  </w:style>
  <w:style w:type="character" w:customStyle="1" w:styleId="TextocomentarioCar">
    <w:name w:val="Texto comentario Car"/>
    <w:basedOn w:val="Fuentedeprrafopredeter"/>
    <w:link w:val="Textocomentario"/>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rsid w:val="002B0B4C"/>
    <w:pPr>
      <w:tabs>
        <w:tab w:val="num" w:pos="720"/>
      </w:tabs>
      <w:spacing w:before="120" w:after="120"/>
      <w:ind w:left="720" w:hanging="360"/>
      <w:jc w:val="both"/>
    </w:pPr>
    <w:rPr>
      <w:rFonts w:ascii="Univers" w:eastAsia="Batang" w:hAnsi="Univers"/>
      <w:sz w:val="20"/>
      <w:szCs w:val="20"/>
      <w:lang w:val="es-CL" w:eastAsia="es-MX"/>
    </w:rPr>
  </w:style>
  <w:style w:type="character" w:customStyle="1" w:styleId="Caracteresdenotaalpie">
    <w:name w:val="Caracteres de nota al pie"/>
    <w:rsid w:val="00C5439D"/>
    <w:rPr>
      <w:vertAlign w:val="superscript"/>
    </w:rPr>
  </w:style>
  <w:style w:type="paragraph" w:customStyle="1" w:styleId="Footnotes">
    <w:name w:val="Footnotes"/>
    <w:basedOn w:val="Textonotapie"/>
    <w:rsid w:val="00AE7D2B"/>
    <w:pPr>
      <w:spacing w:after="120"/>
      <w:jc w:val="both"/>
    </w:pPr>
    <w:rPr>
      <w:rFonts w:ascii="Cambria" w:eastAsia="Calibri" w:hAnsi="Cambria"/>
      <w:sz w:val="16"/>
      <w:lang w:val="en-US"/>
    </w:rPr>
  </w:style>
  <w:style w:type="paragraph" w:customStyle="1" w:styleId="Numberedparagraphs">
    <w:name w:val="Numbered paragraphs"/>
    <w:basedOn w:val="Normal"/>
    <w:qFormat/>
    <w:rsid w:val="00AE7D2B"/>
    <w:pPr>
      <w:numPr>
        <w:numId w:val="6"/>
      </w:numPr>
      <w:contextualSpacing/>
      <w:jc w:val="both"/>
    </w:pPr>
    <w:rPr>
      <w:rFonts w:ascii="Cambria" w:eastAsia="Calibri" w:hAnsi="Cambria"/>
      <w:sz w:val="20"/>
      <w:szCs w:val="22"/>
      <w:lang w:val="en-US"/>
    </w:rPr>
  </w:style>
  <w:style w:type="table" w:styleId="Tablaconcuadrcula">
    <w:name w:val="Table Grid"/>
    <w:basedOn w:val="Tabla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unhideWhenUsed/>
    <w:rsid w:val="00306198"/>
    <w:rPr>
      <w:b/>
      <w:bCs/>
      <w:sz w:val="20"/>
      <w:szCs w:val="20"/>
    </w:rPr>
  </w:style>
  <w:style w:type="character" w:customStyle="1" w:styleId="AsuntodelcomentarioCar">
    <w:name w:val="Asunto del comentario Car"/>
    <w:basedOn w:val="TextocomentarioCar"/>
    <w:link w:val="Asuntodelcomentario"/>
    <w:uiPriority w:val="99"/>
    <w:rsid w:val="00306198"/>
    <w:rPr>
      <w:rFonts w:ascii="Calibri" w:eastAsia="Calibri" w:hAnsi="Calibri"/>
      <w:b/>
      <w:bCs/>
      <w:sz w:val="24"/>
      <w:szCs w:val="24"/>
    </w:rPr>
  </w:style>
  <w:style w:type="table" w:styleId="Tablamoderna">
    <w:name w:val="Table Contemporary"/>
    <w:basedOn w:val="Tabla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DC3">
    <w:name w:val="toc 3"/>
    <w:basedOn w:val="Normal"/>
    <w:next w:val="Normal"/>
    <w:autoRedefine/>
    <w:uiPriority w:val="39"/>
    <w:rsid w:val="000B41BC"/>
    <w:pPr>
      <w:tabs>
        <w:tab w:val="left" w:pos="810"/>
        <w:tab w:val="right" w:pos="7622"/>
      </w:tabs>
      <w:spacing w:before="80"/>
      <w:ind w:left="821" w:hanging="274"/>
    </w:pPr>
    <w:rPr>
      <w:rFonts w:asciiTheme="minorHAnsi" w:hAnsiTheme="minorHAnsi"/>
      <w:sz w:val="20"/>
      <w:szCs w:val="20"/>
    </w:rPr>
  </w:style>
  <w:style w:type="paragraph" w:styleId="TDC4">
    <w:name w:val="toc 4"/>
    <w:basedOn w:val="Normal"/>
    <w:next w:val="Normal"/>
    <w:autoRedefine/>
    <w:uiPriority w:val="39"/>
    <w:rsid w:val="000B41BC"/>
    <w:pPr>
      <w:tabs>
        <w:tab w:val="left" w:pos="1440"/>
        <w:tab w:val="right" w:pos="7622"/>
      </w:tabs>
      <w:spacing w:before="60"/>
      <w:ind w:left="1080"/>
    </w:pPr>
    <w:rPr>
      <w:rFonts w:asciiTheme="minorHAnsi" w:hAnsiTheme="minorHAnsi"/>
      <w:sz w:val="20"/>
      <w:szCs w:val="20"/>
    </w:rPr>
  </w:style>
  <w:style w:type="paragraph" w:customStyle="1" w:styleId="listparagraph">
    <w:name w:val="listparagraph"/>
    <w:basedOn w:val="Normal"/>
    <w:rsid w:val="00605253"/>
    <w:pPr>
      <w:spacing w:before="100" w:beforeAutospacing="1" w:after="100" w:afterAutospacing="1"/>
    </w:pPr>
    <w:rPr>
      <w:rFonts w:eastAsia="Times New Roman"/>
      <w:lang w:val="en-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Ttulo5"/>
    <w:link w:val="istyleChar"/>
    <w:rsid w:val="00E61DF0"/>
    <w:pPr>
      <w:tabs>
        <w:tab w:val="right" w:pos="7560"/>
      </w:tabs>
      <w:ind w:hanging="464"/>
    </w:pPr>
  </w:style>
  <w:style w:type="character" w:customStyle="1" w:styleId="istyleChar">
    <w:name w:val="i. style Char"/>
    <w:basedOn w:val="Ttulo5Car"/>
    <w:link w:val="istyle"/>
    <w:rsid w:val="00E61DF0"/>
    <w:rPr>
      <w:rFonts w:ascii="Cambria" w:hAnsi="Cambria" w:cs="Tahoma"/>
      <w:b/>
      <w:sz w:val="22"/>
      <w:szCs w:val="28"/>
      <w:lang w:val="es-ES"/>
    </w:rPr>
  </w:style>
  <w:style w:type="paragraph" w:styleId="TDC5">
    <w:name w:val="toc 5"/>
    <w:basedOn w:val="Normal"/>
    <w:next w:val="Normal"/>
    <w:autoRedefine/>
    <w:uiPriority w:val="39"/>
    <w:unhideWhenUsed/>
    <w:rsid w:val="00C47958"/>
    <w:pPr>
      <w:ind w:left="960"/>
    </w:pPr>
    <w:rPr>
      <w:rFonts w:asciiTheme="minorHAnsi" w:hAnsiTheme="minorHAnsi"/>
      <w:sz w:val="20"/>
      <w:szCs w:val="20"/>
    </w:rPr>
  </w:style>
  <w:style w:type="paragraph" w:styleId="TDC6">
    <w:name w:val="toc 6"/>
    <w:basedOn w:val="Normal"/>
    <w:next w:val="Normal"/>
    <w:autoRedefine/>
    <w:uiPriority w:val="39"/>
    <w:unhideWhenUsed/>
    <w:rsid w:val="009D6A5F"/>
    <w:pPr>
      <w:ind w:left="1200"/>
    </w:pPr>
    <w:rPr>
      <w:rFonts w:asciiTheme="minorHAnsi" w:hAnsiTheme="minorHAnsi"/>
      <w:sz w:val="20"/>
      <w:szCs w:val="20"/>
    </w:rPr>
  </w:style>
  <w:style w:type="paragraph" w:styleId="TDC7">
    <w:name w:val="toc 7"/>
    <w:basedOn w:val="Normal"/>
    <w:next w:val="Normal"/>
    <w:autoRedefine/>
    <w:uiPriority w:val="39"/>
    <w:unhideWhenUsed/>
    <w:rsid w:val="009D6A5F"/>
    <w:pPr>
      <w:ind w:left="1440"/>
    </w:pPr>
    <w:rPr>
      <w:rFonts w:asciiTheme="minorHAnsi" w:hAnsiTheme="minorHAnsi"/>
      <w:sz w:val="20"/>
      <w:szCs w:val="20"/>
    </w:rPr>
  </w:style>
  <w:style w:type="paragraph" w:styleId="TDC8">
    <w:name w:val="toc 8"/>
    <w:basedOn w:val="Normal"/>
    <w:next w:val="Normal"/>
    <w:autoRedefine/>
    <w:uiPriority w:val="39"/>
    <w:unhideWhenUsed/>
    <w:rsid w:val="009D6A5F"/>
    <w:pPr>
      <w:ind w:left="1680"/>
    </w:pPr>
    <w:rPr>
      <w:rFonts w:asciiTheme="minorHAnsi" w:hAnsiTheme="minorHAnsi"/>
      <w:sz w:val="20"/>
      <w:szCs w:val="20"/>
    </w:rPr>
  </w:style>
  <w:style w:type="paragraph" w:styleId="TDC9">
    <w:name w:val="toc 9"/>
    <w:basedOn w:val="Normal"/>
    <w:next w:val="Normal"/>
    <w:autoRedefine/>
    <w:uiPriority w:val="39"/>
    <w:unhideWhenUsed/>
    <w:rsid w:val="009D6A5F"/>
    <w:pPr>
      <w:ind w:left="1920"/>
    </w:pPr>
    <w:rPr>
      <w:rFonts w:asciiTheme="minorHAnsi" w:hAnsiTheme="minorHAnsi"/>
      <w:sz w:val="20"/>
      <w:szCs w:val="20"/>
    </w:rPr>
  </w:style>
  <w:style w:type="paragraph" w:styleId="TtuloTDC">
    <w:name w:val="TOC Heading"/>
    <w:basedOn w:val="Ttulo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2D4C20"/>
    <w:pPr>
      <w:spacing w:after="240"/>
      <w:ind w:left="1166" w:right="619"/>
      <w:jc w:val="both"/>
    </w:pPr>
    <w:rPr>
      <w:rFonts w:asciiTheme="majorHAnsi" w:hAnsiTheme="majorHAnsi" w:cs="Tahoma"/>
      <w:sz w:val="18"/>
      <w:szCs w:val="20"/>
      <w:lang w:val="es-ES"/>
    </w:rPr>
  </w:style>
  <w:style w:type="character" w:styleId="nfasissutil">
    <w:name w:val="Subtle Emphasis"/>
    <w:basedOn w:val="Fuentedeprrafopredeter"/>
    <w:uiPriority w:val="19"/>
    <w:qFormat/>
    <w:rsid w:val="00787100"/>
    <w:rPr>
      <w:i/>
      <w:iCs/>
      <w:color w:val="808080" w:themeColor="text1" w:themeTint="7F"/>
    </w:rPr>
  </w:style>
  <w:style w:type="paragraph" w:styleId="Cita">
    <w:name w:val="Quote"/>
    <w:basedOn w:val="Normal"/>
    <w:next w:val="Normal"/>
    <w:link w:val="CitaCar"/>
    <w:uiPriority w:val="29"/>
    <w:qFormat/>
    <w:rsid w:val="00787100"/>
    <w:rPr>
      <w:i/>
      <w:iCs/>
      <w:color w:val="000000" w:themeColor="text1"/>
    </w:rPr>
  </w:style>
  <w:style w:type="character" w:customStyle="1" w:styleId="CitaCar">
    <w:name w:val="Cita Car"/>
    <w:basedOn w:val="Fuentedeprrafopredeter"/>
    <w:link w:val="Cita"/>
    <w:uiPriority w:val="29"/>
    <w:rsid w:val="00787100"/>
    <w:rPr>
      <w:i/>
      <w:iCs/>
      <w:color w:val="000000" w:themeColor="text1"/>
      <w:sz w:val="24"/>
      <w:szCs w:val="24"/>
      <w:lang w:val="fr-FR"/>
    </w:rPr>
  </w:style>
  <w:style w:type="character" w:customStyle="1" w:styleId="sb8d990e2">
    <w:name w:val="sb8d990e2"/>
    <w:basedOn w:val="Fuentedeprrafopredeter"/>
    <w:rsid w:val="001F2B92"/>
  </w:style>
  <w:style w:type="character" w:customStyle="1" w:styleId="s6b621b36">
    <w:name w:val="s6b621b36"/>
    <w:basedOn w:val="Fuentedeprrafopredeter"/>
    <w:rsid w:val="001F2B92"/>
  </w:style>
  <w:style w:type="paragraph" w:customStyle="1" w:styleId="16PointChar">
    <w:name w:val="16 Point Char"/>
    <w:aliases w:val="4_G Char,Appel note de bas de page Char,BVI fnr Char,Footnote number Char,Footnotes refss Char,Ref Char,Superscript 6 Point Cha,Texto de nota al pie Char,de nota al pie Char,f Char,normal Char,referencia nota al pie Char"/>
    <w:basedOn w:val="Normal"/>
    <w:uiPriority w:val="99"/>
    <w:rsid w:val="001F2B92"/>
    <w:pPr>
      <w:spacing w:after="160" w:line="240" w:lineRule="exact"/>
    </w:pPr>
    <w:rPr>
      <w:rFonts w:ascii="Calibri" w:eastAsia="Calibri" w:hAnsi="Calibri"/>
      <w:sz w:val="20"/>
      <w:szCs w:val="20"/>
      <w:vertAlign w:val="superscript"/>
      <w:lang w:val="en-US"/>
    </w:rPr>
  </w:style>
  <w:style w:type="paragraph" w:styleId="Mapadeldocumento">
    <w:name w:val="Document Map"/>
    <w:basedOn w:val="Normal"/>
    <w:link w:val="MapadeldocumentoCar"/>
    <w:rsid w:val="001F2B92"/>
    <w:rPr>
      <w:rFonts w:ascii="Lucida Grande" w:hAnsi="Lucida Grande" w:cs="Lucida Grande"/>
      <w:lang w:val="en-US"/>
    </w:rPr>
  </w:style>
  <w:style w:type="character" w:customStyle="1" w:styleId="MapadeldocumentoCar">
    <w:name w:val="Mapa del documento Car"/>
    <w:basedOn w:val="Fuentedeprrafopredeter"/>
    <w:link w:val="Mapadeldocumento"/>
    <w:rsid w:val="001F2B92"/>
    <w:rPr>
      <w:rFonts w:ascii="Lucida Grande" w:hAnsi="Lucida Grande" w:cs="Lucida Grande"/>
      <w:sz w:val="24"/>
      <w:szCs w:val="24"/>
    </w:rPr>
  </w:style>
  <w:style w:type="character" w:customStyle="1" w:styleId="st1">
    <w:name w:val="st1"/>
    <w:basedOn w:val="Fuentedeprrafopredeter"/>
    <w:rsid w:val="001F2B92"/>
  </w:style>
  <w:style w:type="paragraph" w:customStyle="1" w:styleId="Parrnumerado">
    <w:name w:val="Parr numerado"/>
    <w:basedOn w:val="Normal"/>
    <w:rsid w:val="00DA202A"/>
    <w:pPr>
      <w:numPr>
        <w:numId w:val="7"/>
      </w:numPr>
      <w:spacing w:after="240"/>
      <w:jc w:val="both"/>
    </w:pPr>
    <w:rPr>
      <w:rFonts w:asciiTheme="majorHAnsi" w:hAnsiTheme="majorHAnsi" w:cs="Arial"/>
      <w:sz w:val="20"/>
      <w:szCs w:val="20"/>
      <w:shd w:val="clear" w:color="auto" w:fill="FFFFFF"/>
      <w:lang w:val="en-US"/>
    </w:rPr>
  </w:style>
  <w:style w:type="paragraph" w:customStyle="1" w:styleId="Subnumerado">
    <w:name w:val="Subnumerado"/>
    <w:basedOn w:val="Prrafodelista"/>
    <w:qFormat/>
    <w:rsid w:val="00264813"/>
    <w:pPr>
      <w:numPr>
        <w:numId w:val="10"/>
      </w:numPr>
      <w:spacing w:after="120"/>
      <w:jc w:val="both"/>
    </w:pPr>
    <w:rPr>
      <w:rFonts w:asciiTheme="majorHAnsi" w:hAnsiTheme="majorHAns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612">
      <w:bodyDiv w:val="1"/>
      <w:marLeft w:val="0"/>
      <w:marRight w:val="0"/>
      <w:marTop w:val="0"/>
      <w:marBottom w:val="0"/>
      <w:divBdr>
        <w:top w:val="none" w:sz="0" w:space="0" w:color="auto"/>
        <w:left w:val="none" w:sz="0" w:space="0" w:color="auto"/>
        <w:bottom w:val="none" w:sz="0" w:space="0" w:color="auto"/>
        <w:right w:val="none" w:sz="0" w:space="0" w:color="auto"/>
      </w:divBdr>
    </w:div>
    <w:div w:id="29454880">
      <w:bodyDiv w:val="1"/>
      <w:marLeft w:val="0"/>
      <w:marRight w:val="0"/>
      <w:marTop w:val="0"/>
      <w:marBottom w:val="0"/>
      <w:divBdr>
        <w:top w:val="none" w:sz="0" w:space="0" w:color="auto"/>
        <w:left w:val="none" w:sz="0" w:space="0" w:color="auto"/>
        <w:bottom w:val="none" w:sz="0" w:space="0" w:color="auto"/>
        <w:right w:val="none" w:sz="0" w:space="0" w:color="auto"/>
      </w:divBdr>
      <w:divsChild>
        <w:div w:id="103574419">
          <w:marLeft w:val="0"/>
          <w:marRight w:val="0"/>
          <w:marTop w:val="0"/>
          <w:marBottom w:val="0"/>
          <w:divBdr>
            <w:top w:val="none" w:sz="0" w:space="0" w:color="auto"/>
            <w:left w:val="none" w:sz="0" w:space="0" w:color="auto"/>
            <w:bottom w:val="none" w:sz="0" w:space="0" w:color="auto"/>
            <w:right w:val="none" w:sz="0" w:space="0" w:color="auto"/>
          </w:divBdr>
          <w:divsChild>
            <w:div w:id="1469473135">
              <w:marLeft w:val="0"/>
              <w:marRight w:val="0"/>
              <w:marTop w:val="525"/>
              <w:marBottom w:val="0"/>
              <w:divBdr>
                <w:top w:val="none" w:sz="0" w:space="0" w:color="auto"/>
                <w:left w:val="none" w:sz="0" w:space="0" w:color="auto"/>
                <w:bottom w:val="none" w:sz="0" w:space="0" w:color="auto"/>
                <w:right w:val="none" w:sz="0" w:space="0" w:color="auto"/>
              </w:divBdr>
              <w:divsChild>
                <w:div w:id="56780369">
                  <w:marLeft w:val="0"/>
                  <w:marRight w:val="0"/>
                  <w:marTop w:val="0"/>
                  <w:marBottom w:val="0"/>
                  <w:divBdr>
                    <w:top w:val="none" w:sz="0" w:space="0" w:color="auto"/>
                    <w:left w:val="none" w:sz="0" w:space="0" w:color="auto"/>
                    <w:bottom w:val="none" w:sz="0" w:space="0" w:color="auto"/>
                    <w:right w:val="none" w:sz="0" w:space="0" w:color="auto"/>
                  </w:divBdr>
                  <w:divsChild>
                    <w:div w:id="150799165">
                      <w:marLeft w:val="0"/>
                      <w:marRight w:val="210"/>
                      <w:marTop w:val="0"/>
                      <w:marBottom w:val="0"/>
                      <w:divBdr>
                        <w:top w:val="none" w:sz="0" w:space="0" w:color="auto"/>
                        <w:left w:val="none" w:sz="0" w:space="0" w:color="auto"/>
                        <w:bottom w:val="none" w:sz="0" w:space="0" w:color="auto"/>
                        <w:right w:val="none" w:sz="0" w:space="0" w:color="auto"/>
                      </w:divBdr>
                      <w:divsChild>
                        <w:div w:id="1367097892">
                          <w:marLeft w:val="0"/>
                          <w:marRight w:val="0"/>
                          <w:marTop w:val="0"/>
                          <w:marBottom w:val="0"/>
                          <w:divBdr>
                            <w:top w:val="none" w:sz="0" w:space="0" w:color="auto"/>
                            <w:left w:val="none" w:sz="0" w:space="0" w:color="auto"/>
                            <w:bottom w:val="none" w:sz="0" w:space="0" w:color="auto"/>
                            <w:right w:val="none" w:sz="0" w:space="0" w:color="auto"/>
                          </w:divBdr>
                          <w:divsChild>
                            <w:div w:id="15255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7817">
                      <w:marLeft w:val="0"/>
                      <w:marRight w:val="300"/>
                      <w:marTop w:val="0"/>
                      <w:marBottom w:val="0"/>
                      <w:divBdr>
                        <w:top w:val="none" w:sz="0" w:space="0" w:color="auto"/>
                        <w:left w:val="none" w:sz="0" w:space="0" w:color="auto"/>
                        <w:bottom w:val="none" w:sz="0" w:space="0" w:color="auto"/>
                        <w:right w:val="none" w:sz="0" w:space="0" w:color="auto"/>
                      </w:divBdr>
                      <w:divsChild>
                        <w:div w:id="1573851261">
                          <w:marLeft w:val="0"/>
                          <w:marRight w:val="0"/>
                          <w:marTop w:val="0"/>
                          <w:marBottom w:val="0"/>
                          <w:divBdr>
                            <w:top w:val="none" w:sz="0" w:space="0" w:color="auto"/>
                            <w:left w:val="none" w:sz="0" w:space="0" w:color="auto"/>
                            <w:bottom w:val="none" w:sz="0" w:space="0" w:color="auto"/>
                            <w:right w:val="none" w:sz="0" w:space="0" w:color="auto"/>
                          </w:divBdr>
                          <w:divsChild>
                            <w:div w:id="13172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5293">
      <w:bodyDiv w:val="1"/>
      <w:marLeft w:val="0"/>
      <w:marRight w:val="0"/>
      <w:marTop w:val="0"/>
      <w:marBottom w:val="0"/>
      <w:divBdr>
        <w:top w:val="none" w:sz="0" w:space="0" w:color="auto"/>
        <w:left w:val="none" w:sz="0" w:space="0" w:color="auto"/>
        <w:bottom w:val="none" w:sz="0" w:space="0" w:color="auto"/>
        <w:right w:val="none" w:sz="0" w:space="0" w:color="auto"/>
      </w:divBdr>
    </w:div>
    <w:div w:id="78216242">
      <w:bodyDiv w:val="1"/>
      <w:marLeft w:val="0"/>
      <w:marRight w:val="0"/>
      <w:marTop w:val="0"/>
      <w:marBottom w:val="0"/>
      <w:divBdr>
        <w:top w:val="none" w:sz="0" w:space="0" w:color="auto"/>
        <w:left w:val="none" w:sz="0" w:space="0" w:color="auto"/>
        <w:bottom w:val="none" w:sz="0" w:space="0" w:color="auto"/>
        <w:right w:val="none" w:sz="0" w:space="0" w:color="auto"/>
      </w:divBdr>
      <w:divsChild>
        <w:div w:id="1180970968">
          <w:marLeft w:val="0"/>
          <w:marRight w:val="0"/>
          <w:marTop w:val="0"/>
          <w:marBottom w:val="0"/>
          <w:divBdr>
            <w:top w:val="none" w:sz="0" w:space="0" w:color="auto"/>
            <w:left w:val="none" w:sz="0" w:space="0" w:color="auto"/>
            <w:bottom w:val="none" w:sz="0" w:space="0" w:color="auto"/>
            <w:right w:val="none" w:sz="0" w:space="0" w:color="auto"/>
          </w:divBdr>
          <w:divsChild>
            <w:div w:id="1820881383">
              <w:marLeft w:val="0"/>
              <w:marRight w:val="0"/>
              <w:marTop w:val="0"/>
              <w:marBottom w:val="0"/>
              <w:divBdr>
                <w:top w:val="none" w:sz="0" w:space="0" w:color="auto"/>
                <w:left w:val="none" w:sz="0" w:space="0" w:color="auto"/>
                <w:bottom w:val="none" w:sz="0" w:space="0" w:color="auto"/>
                <w:right w:val="none" w:sz="0" w:space="0" w:color="auto"/>
              </w:divBdr>
              <w:divsChild>
                <w:div w:id="1572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218">
      <w:bodyDiv w:val="1"/>
      <w:marLeft w:val="0"/>
      <w:marRight w:val="0"/>
      <w:marTop w:val="0"/>
      <w:marBottom w:val="0"/>
      <w:divBdr>
        <w:top w:val="none" w:sz="0" w:space="0" w:color="auto"/>
        <w:left w:val="none" w:sz="0" w:space="0" w:color="auto"/>
        <w:bottom w:val="none" w:sz="0" w:space="0" w:color="auto"/>
        <w:right w:val="none" w:sz="0" w:space="0" w:color="auto"/>
      </w:divBdr>
      <w:divsChild>
        <w:div w:id="1672829341">
          <w:marLeft w:val="0"/>
          <w:marRight w:val="0"/>
          <w:marTop w:val="0"/>
          <w:marBottom w:val="0"/>
          <w:divBdr>
            <w:top w:val="none" w:sz="0" w:space="0" w:color="auto"/>
            <w:left w:val="none" w:sz="0" w:space="0" w:color="auto"/>
            <w:bottom w:val="none" w:sz="0" w:space="0" w:color="auto"/>
            <w:right w:val="none" w:sz="0" w:space="0" w:color="auto"/>
          </w:divBdr>
          <w:divsChild>
            <w:div w:id="195237572">
              <w:marLeft w:val="0"/>
              <w:marRight w:val="0"/>
              <w:marTop w:val="0"/>
              <w:marBottom w:val="0"/>
              <w:divBdr>
                <w:top w:val="none" w:sz="0" w:space="0" w:color="auto"/>
                <w:left w:val="none" w:sz="0" w:space="0" w:color="auto"/>
                <w:bottom w:val="none" w:sz="0" w:space="0" w:color="auto"/>
                <w:right w:val="none" w:sz="0" w:space="0" w:color="auto"/>
              </w:divBdr>
              <w:divsChild>
                <w:div w:id="159590490">
                  <w:marLeft w:val="0"/>
                  <w:marRight w:val="0"/>
                  <w:marTop w:val="0"/>
                  <w:marBottom w:val="0"/>
                  <w:divBdr>
                    <w:top w:val="none" w:sz="0" w:space="0" w:color="auto"/>
                    <w:left w:val="none" w:sz="0" w:space="0" w:color="auto"/>
                    <w:bottom w:val="none" w:sz="0" w:space="0" w:color="auto"/>
                    <w:right w:val="none" w:sz="0" w:space="0" w:color="auto"/>
                  </w:divBdr>
                  <w:divsChild>
                    <w:div w:id="403836345">
                      <w:marLeft w:val="0"/>
                      <w:marRight w:val="0"/>
                      <w:marTop w:val="0"/>
                      <w:marBottom w:val="0"/>
                      <w:divBdr>
                        <w:top w:val="none" w:sz="0" w:space="0" w:color="auto"/>
                        <w:left w:val="none" w:sz="0" w:space="0" w:color="auto"/>
                        <w:bottom w:val="none" w:sz="0" w:space="0" w:color="auto"/>
                        <w:right w:val="none" w:sz="0" w:space="0" w:color="auto"/>
                      </w:divBdr>
                      <w:divsChild>
                        <w:div w:id="1343119671">
                          <w:marLeft w:val="0"/>
                          <w:marRight w:val="0"/>
                          <w:marTop w:val="0"/>
                          <w:marBottom w:val="0"/>
                          <w:divBdr>
                            <w:top w:val="none" w:sz="0" w:space="0" w:color="auto"/>
                            <w:left w:val="none" w:sz="0" w:space="0" w:color="auto"/>
                            <w:bottom w:val="none" w:sz="0" w:space="0" w:color="auto"/>
                            <w:right w:val="none" w:sz="0" w:space="0" w:color="auto"/>
                          </w:divBdr>
                          <w:divsChild>
                            <w:div w:id="342977262">
                              <w:marLeft w:val="0"/>
                              <w:marRight w:val="0"/>
                              <w:marTop w:val="0"/>
                              <w:marBottom w:val="0"/>
                              <w:divBdr>
                                <w:top w:val="single" w:sz="6" w:space="0" w:color="CCCCCC"/>
                                <w:left w:val="single" w:sz="6" w:space="0" w:color="CCCCCC"/>
                                <w:bottom w:val="single" w:sz="6" w:space="0" w:color="CCCCCC"/>
                                <w:right w:val="single" w:sz="6" w:space="0" w:color="CCCCCC"/>
                              </w:divBdr>
                              <w:divsChild>
                                <w:div w:id="874077628">
                                  <w:marLeft w:val="0"/>
                                  <w:marRight w:val="0"/>
                                  <w:marTop w:val="0"/>
                                  <w:marBottom w:val="0"/>
                                  <w:divBdr>
                                    <w:top w:val="none" w:sz="0" w:space="0" w:color="auto"/>
                                    <w:left w:val="none" w:sz="0" w:space="0" w:color="auto"/>
                                    <w:bottom w:val="none" w:sz="0" w:space="0" w:color="auto"/>
                                    <w:right w:val="none" w:sz="0" w:space="0" w:color="auto"/>
                                  </w:divBdr>
                                  <w:divsChild>
                                    <w:div w:id="63059801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sChild>
        <w:div w:id="340855065">
          <w:marLeft w:val="0"/>
          <w:marRight w:val="0"/>
          <w:marTop w:val="0"/>
          <w:marBottom w:val="0"/>
          <w:divBdr>
            <w:top w:val="none" w:sz="0" w:space="0" w:color="auto"/>
            <w:left w:val="none" w:sz="0" w:space="0" w:color="auto"/>
            <w:bottom w:val="none" w:sz="0" w:space="0" w:color="auto"/>
            <w:right w:val="none" w:sz="0" w:space="0" w:color="auto"/>
          </w:divBdr>
        </w:div>
      </w:divsChild>
    </w:div>
    <w:div w:id="149978697">
      <w:bodyDiv w:val="1"/>
      <w:marLeft w:val="0"/>
      <w:marRight w:val="0"/>
      <w:marTop w:val="0"/>
      <w:marBottom w:val="0"/>
      <w:divBdr>
        <w:top w:val="none" w:sz="0" w:space="0" w:color="auto"/>
        <w:left w:val="none" w:sz="0" w:space="0" w:color="auto"/>
        <w:bottom w:val="none" w:sz="0" w:space="0" w:color="auto"/>
        <w:right w:val="none" w:sz="0" w:space="0" w:color="auto"/>
      </w:divBdr>
    </w:div>
    <w:div w:id="167183662">
      <w:bodyDiv w:val="1"/>
      <w:marLeft w:val="0"/>
      <w:marRight w:val="0"/>
      <w:marTop w:val="0"/>
      <w:marBottom w:val="0"/>
      <w:divBdr>
        <w:top w:val="none" w:sz="0" w:space="0" w:color="auto"/>
        <w:left w:val="none" w:sz="0" w:space="0" w:color="auto"/>
        <w:bottom w:val="none" w:sz="0" w:space="0" w:color="auto"/>
        <w:right w:val="none" w:sz="0" w:space="0" w:color="auto"/>
      </w:divBdr>
      <w:divsChild>
        <w:div w:id="1805805145">
          <w:marLeft w:val="0"/>
          <w:marRight w:val="0"/>
          <w:marTop w:val="0"/>
          <w:marBottom w:val="0"/>
          <w:divBdr>
            <w:top w:val="none" w:sz="0" w:space="0" w:color="auto"/>
            <w:left w:val="none" w:sz="0" w:space="0" w:color="auto"/>
            <w:bottom w:val="none" w:sz="0" w:space="0" w:color="auto"/>
            <w:right w:val="none" w:sz="0" w:space="0" w:color="auto"/>
          </w:divBdr>
          <w:divsChild>
            <w:div w:id="753666575">
              <w:marLeft w:val="0"/>
              <w:marRight w:val="0"/>
              <w:marTop w:val="0"/>
              <w:marBottom w:val="0"/>
              <w:divBdr>
                <w:top w:val="none" w:sz="0" w:space="0" w:color="auto"/>
                <w:left w:val="none" w:sz="0" w:space="0" w:color="auto"/>
                <w:bottom w:val="none" w:sz="0" w:space="0" w:color="auto"/>
                <w:right w:val="none" w:sz="0" w:space="0" w:color="auto"/>
              </w:divBdr>
              <w:divsChild>
                <w:div w:id="1204828719">
                  <w:marLeft w:val="0"/>
                  <w:marRight w:val="0"/>
                  <w:marTop w:val="0"/>
                  <w:marBottom w:val="0"/>
                  <w:divBdr>
                    <w:top w:val="none" w:sz="0" w:space="0" w:color="auto"/>
                    <w:left w:val="none" w:sz="0" w:space="0" w:color="auto"/>
                    <w:bottom w:val="none" w:sz="0" w:space="0" w:color="auto"/>
                    <w:right w:val="none" w:sz="0" w:space="0" w:color="auto"/>
                  </w:divBdr>
                  <w:divsChild>
                    <w:div w:id="1388336800">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775181">
      <w:bodyDiv w:val="1"/>
      <w:marLeft w:val="0"/>
      <w:marRight w:val="0"/>
      <w:marTop w:val="0"/>
      <w:marBottom w:val="0"/>
      <w:divBdr>
        <w:top w:val="none" w:sz="0" w:space="0" w:color="auto"/>
        <w:left w:val="none" w:sz="0" w:space="0" w:color="auto"/>
        <w:bottom w:val="none" w:sz="0" w:space="0" w:color="auto"/>
        <w:right w:val="none" w:sz="0" w:space="0" w:color="auto"/>
      </w:divBdr>
    </w:div>
    <w:div w:id="207692498">
      <w:bodyDiv w:val="1"/>
      <w:marLeft w:val="0"/>
      <w:marRight w:val="0"/>
      <w:marTop w:val="0"/>
      <w:marBottom w:val="0"/>
      <w:divBdr>
        <w:top w:val="none" w:sz="0" w:space="0" w:color="auto"/>
        <w:left w:val="none" w:sz="0" w:space="0" w:color="auto"/>
        <w:bottom w:val="none" w:sz="0" w:space="0" w:color="auto"/>
        <w:right w:val="none" w:sz="0" w:space="0" w:color="auto"/>
      </w:divBdr>
      <w:divsChild>
        <w:div w:id="637803672">
          <w:marLeft w:val="0"/>
          <w:marRight w:val="0"/>
          <w:marTop w:val="0"/>
          <w:marBottom w:val="0"/>
          <w:divBdr>
            <w:top w:val="none" w:sz="0" w:space="0" w:color="auto"/>
            <w:left w:val="none" w:sz="0" w:space="0" w:color="auto"/>
            <w:bottom w:val="none" w:sz="0" w:space="0" w:color="auto"/>
            <w:right w:val="none" w:sz="0" w:space="0" w:color="auto"/>
          </w:divBdr>
          <w:divsChild>
            <w:div w:id="2057847570">
              <w:marLeft w:val="0"/>
              <w:marRight w:val="0"/>
              <w:marTop w:val="0"/>
              <w:marBottom w:val="0"/>
              <w:divBdr>
                <w:top w:val="none" w:sz="0" w:space="0" w:color="auto"/>
                <w:left w:val="none" w:sz="0" w:space="0" w:color="auto"/>
                <w:bottom w:val="none" w:sz="0" w:space="0" w:color="auto"/>
                <w:right w:val="none" w:sz="0" w:space="0" w:color="auto"/>
              </w:divBdr>
              <w:divsChild>
                <w:div w:id="1015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345">
      <w:bodyDiv w:val="1"/>
      <w:marLeft w:val="0"/>
      <w:marRight w:val="0"/>
      <w:marTop w:val="0"/>
      <w:marBottom w:val="0"/>
      <w:divBdr>
        <w:top w:val="none" w:sz="0" w:space="0" w:color="auto"/>
        <w:left w:val="none" w:sz="0" w:space="0" w:color="auto"/>
        <w:bottom w:val="none" w:sz="0" w:space="0" w:color="auto"/>
        <w:right w:val="none" w:sz="0" w:space="0" w:color="auto"/>
      </w:divBdr>
      <w:divsChild>
        <w:div w:id="218396751">
          <w:marLeft w:val="0"/>
          <w:marRight w:val="0"/>
          <w:marTop w:val="0"/>
          <w:marBottom w:val="0"/>
          <w:divBdr>
            <w:top w:val="none" w:sz="0" w:space="0" w:color="auto"/>
            <w:left w:val="none" w:sz="0" w:space="0" w:color="auto"/>
            <w:bottom w:val="none" w:sz="0" w:space="0" w:color="auto"/>
            <w:right w:val="none" w:sz="0" w:space="0" w:color="auto"/>
          </w:divBdr>
          <w:divsChild>
            <w:div w:id="2052148887">
              <w:marLeft w:val="0"/>
              <w:marRight w:val="0"/>
              <w:marTop w:val="0"/>
              <w:marBottom w:val="0"/>
              <w:divBdr>
                <w:top w:val="none" w:sz="0" w:space="0" w:color="auto"/>
                <w:left w:val="none" w:sz="0" w:space="0" w:color="auto"/>
                <w:bottom w:val="none" w:sz="0" w:space="0" w:color="auto"/>
                <w:right w:val="none" w:sz="0" w:space="0" w:color="auto"/>
              </w:divBdr>
              <w:divsChild>
                <w:div w:id="5432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727">
      <w:bodyDiv w:val="1"/>
      <w:marLeft w:val="0"/>
      <w:marRight w:val="0"/>
      <w:marTop w:val="0"/>
      <w:marBottom w:val="0"/>
      <w:divBdr>
        <w:top w:val="none" w:sz="0" w:space="0" w:color="auto"/>
        <w:left w:val="none" w:sz="0" w:space="0" w:color="auto"/>
        <w:bottom w:val="none" w:sz="0" w:space="0" w:color="auto"/>
        <w:right w:val="none" w:sz="0" w:space="0" w:color="auto"/>
      </w:divBdr>
      <w:divsChild>
        <w:div w:id="1332677042">
          <w:marLeft w:val="0"/>
          <w:marRight w:val="0"/>
          <w:marTop w:val="0"/>
          <w:marBottom w:val="0"/>
          <w:divBdr>
            <w:top w:val="none" w:sz="0" w:space="0" w:color="auto"/>
            <w:left w:val="none" w:sz="0" w:space="0" w:color="auto"/>
            <w:bottom w:val="none" w:sz="0" w:space="0" w:color="auto"/>
            <w:right w:val="none" w:sz="0" w:space="0" w:color="auto"/>
          </w:divBdr>
          <w:divsChild>
            <w:div w:id="20977279">
              <w:marLeft w:val="0"/>
              <w:marRight w:val="0"/>
              <w:marTop w:val="0"/>
              <w:marBottom w:val="0"/>
              <w:divBdr>
                <w:top w:val="none" w:sz="0" w:space="0" w:color="auto"/>
                <w:left w:val="none" w:sz="0" w:space="0" w:color="auto"/>
                <w:bottom w:val="none" w:sz="0" w:space="0" w:color="auto"/>
                <w:right w:val="none" w:sz="0" w:space="0" w:color="auto"/>
              </w:divBdr>
            </w:div>
            <w:div w:id="31922757">
              <w:marLeft w:val="0"/>
              <w:marRight w:val="0"/>
              <w:marTop w:val="0"/>
              <w:marBottom w:val="0"/>
              <w:divBdr>
                <w:top w:val="none" w:sz="0" w:space="0" w:color="auto"/>
                <w:left w:val="none" w:sz="0" w:space="0" w:color="auto"/>
                <w:bottom w:val="none" w:sz="0" w:space="0" w:color="auto"/>
                <w:right w:val="none" w:sz="0" w:space="0" w:color="auto"/>
              </w:divBdr>
            </w:div>
            <w:div w:id="599415614">
              <w:marLeft w:val="0"/>
              <w:marRight w:val="0"/>
              <w:marTop w:val="0"/>
              <w:marBottom w:val="0"/>
              <w:divBdr>
                <w:top w:val="none" w:sz="0" w:space="0" w:color="auto"/>
                <w:left w:val="none" w:sz="0" w:space="0" w:color="auto"/>
                <w:bottom w:val="none" w:sz="0" w:space="0" w:color="auto"/>
                <w:right w:val="none" w:sz="0" w:space="0" w:color="auto"/>
              </w:divBdr>
            </w:div>
            <w:div w:id="1787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0217">
      <w:bodyDiv w:val="1"/>
      <w:marLeft w:val="0"/>
      <w:marRight w:val="0"/>
      <w:marTop w:val="0"/>
      <w:marBottom w:val="0"/>
      <w:divBdr>
        <w:top w:val="none" w:sz="0" w:space="0" w:color="auto"/>
        <w:left w:val="none" w:sz="0" w:space="0" w:color="auto"/>
        <w:bottom w:val="none" w:sz="0" w:space="0" w:color="auto"/>
        <w:right w:val="none" w:sz="0" w:space="0" w:color="auto"/>
      </w:divBdr>
    </w:div>
    <w:div w:id="2638510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332">
          <w:marLeft w:val="0"/>
          <w:marRight w:val="0"/>
          <w:marTop w:val="0"/>
          <w:marBottom w:val="0"/>
          <w:divBdr>
            <w:top w:val="none" w:sz="0" w:space="0" w:color="auto"/>
            <w:left w:val="none" w:sz="0" w:space="0" w:color="auto"/>
            <w:bottom w:val="none" w:sz="0" w:space="0" w:color="auto"/>
            <w:right w:val="none" w:sz="0" w:space="0" w:color="auto"/>
          </w:divBdr>
          <w:divsChild>
            <w:div w:id="1226910969">
              <w:marLeft w:val="0"/>
              <w:marRight w:val="0"/>
              <w:marTop w:val="0"/>
              <w:marBottom w:val="0"/>
              <w:divBdr>
                <w:top w:val="none" w:sz="0" w:space="0" w:color="auto"/>
                <w:left w:val="none" w:sz="0" w:space="0" w:color="auto"/>
                <w:bottom w:val="none" w:sz="0" w:space="0" w:color="auto"/>
                <w:right w:val="none" w:sz="0" w:space="0" w:color="auto"/>
              </w:divBdr>
              <w:divsChild>
                <w:div w:id="1193497141">
                  <w:marLeft w:val="0"/>
                  <w:marRight w:val="0"/>
                  <w:marTop w:val="0"/>
                  <w:marBottom w:val="0"/>
                  <w:divBdr>
                    <w:top w:val="none" w:sz="0" w:space="0" w:color="auto"/>
                    <w:left w:val="none" w:sz="0" w:space="0" w:color="auto"/>
                    <w:bottom w:val="none" w:sz="0" w:space="0" w:color="auto"/>
                    <w:right w:val="none" w:sz="0" w:space="0" w:color="auto"/>
                  </w:divBdr>
                  <w:divsChild>
                    <w:div w:id="614212402">
                      <w:marLeft w:val="0"/>
                      <w:marRight w:val="0"/>
                      <w:marTop w:val="0"/>
                      <w:marBottom w:val="0"/>
                      <w:divBdr>
                        <w:top w:val="none" w:sz="0" w:space="0" w:color="auto"/>
                        <w:left w:val="none" w:sz="0" w:space="0" w:color="auto"/>
                        <w:bottom w:val="none" w:sz="0" w:space="0" w:color="auto"/>
                        <w:right w:val="none" w:sz="0" w:space="0" w:color="auto"/>
                      </w:divBdr>
                      <w:divsChild>
                        <w:div w:id="1770734921">
                          <w:marLeft w:val="0"/>
                          <w:marRight w:val="0"/>
                          <w:marTop w:val="0"/>
                          <w:marBottom w:val="0"/>
                          <w:divBdr>
                            <w:top w:val="none" w:sz="0" w:space="0" w:color="auto"/>
                            <w:left w:val="none" w:sz="0" w:space="0" w:color="auto"/>
                            <w:bottom w:val="none" w:sz="0" w:space="0" w:color="auto"/>
                            <w:right w:val="none" w:sz="0" w:space="0" w:color="auto"/>
                          </w:divBdr>
                          <w:divsChild>
                            <w:div w:id="556625844">
                              <w:marLeft w:val="0"/>
                              <w:marRight w:val="0"/>
                              <w:marTop w:val="0"/>
                              <w:marBottom w:val="0"/>
                              <w:divBdr>
                                <w:top w:val="none" w:sz="0" w:space="0" w:color="auto"/>
                                <w:left w:val="none" w:sz="0" w:space="0" w:color="auto"/>
                                <w:bottom w:val="none" w:sz="0" w:space="0" w:color="auto"/>
                                <w:right w:val="none" w:sz="0" w:space="0" w:color="auto"/>
                              </w:divBdr>
                              <w:divsChild>
                                <w:div w:id="1110973369">
                                  <w:marLeft w:val="0"/>
                                  <w:marRight w:val="0"/>
                                  <w:marTop w:val="0"/>
                                  <w:marBottom w:val="0"/>
                                  <w:divBdr>
                                    <w:top w:val="none" w:sz="0" w:space="0" w:color="auto"/>
                                    <w:left w:val="none" w:sz="0" w:space="0" w:color="auto"/>
                                    <w:bottom w:val="none" w:sz="0" w:space="0" w:color="auto"/>
                                    <w:right w:val="none" w:sz="0" w:space="0" w:color="auto"/>
                                  </w:divBdr>
                                  <w:divsChild>
                                    <w:div w:id="1708797670">
                                      <w:marLeft w:val="0"/>
                                      <w:marRight w:val="0"/>
                                      <w:marTop w:val="0"/>
                                      <w:marBottom w:val="0"/>
                                      <w:divBdr>
                                        <w:top w:val="none" w:sz="0" w:space="0" w:color="auto"/>
                                        <w:left w:val="none" w:sz="0" w:space="0" w:color="auto"/>
                                        <w:bottom w:val="none" w:sz="0" w:space="0" w:color="auto"/>
                                        <w:right w:val="none" w:sz="0" w:space="0" w:color="auto"/>
                                      </w:divBdr>
                                      <w:divsChild>
                                        <w:div w:id="1018389577">
                                          <w:marLeft w:val="0"/>
                                          <w:marRight w:val="0"/>
                                          <w:marTop w:val="0"/>
                                          <w:marBottom w:val="0"/>
                                          <w:divBdr>
                                            <w:top w:val="none" w:sz="0" w:space="0" w:color="auto"/>
                                            <w:left w:val="none" w:sz="0" w:space="0" w:color="auto"/>
                                            <w:bottom w:val="none" w:sz="0" w:space="0" w:color="auto"/>
                                            <w:right w:val="none" w:sz="0" w:space="0" w:color="auto"/>
                                          </w:divBdr>
                                          <w:divsChild>
                                            <w:div w:id="656686209">
                                              <w:marLeft w:val="0"/>
                                              <w:marRight w:val="0"/>
                                              <w:marTop w:val="0"/>
                                              <w:marBottom w:val="0"/>
                                              <w:divBdr>
                                                <w:top w:val="none" w:sz="0" w:space="0" w:color="auto"/>
                                                <w:left w:val="none" w:sz="0" w:space="0" w:color="auto"/>
                                                <w:bottom w:val="none" w:sz="0" w:space="0" w:color="auto"/>
                                                <w:right w:val="none" w:sz="0" w:space="0" w:color="auto"/>
                                              </w:divBdr>
                                              <w:divsChild>
                                                <w:div w:id="715668305">
                                                  <w:marLeft w:val="0"/>
                                                  <w:marRight w:val="0"/>
                                                  <w:marTop w:val="0"/>
                                                  <w:marBottom w:val="0"/>
                                                  <w:divBdr>
                                                    <w:top w:val="none" w:sz="0" w:space="0" w:color="auto"/>
                                                    <w:left w:val="none" w:sz="0" w:space="0" w:color="auto"/>
                                                    <w:bottom w:val="none" w:sz="0" w:space="0" w:color="auto"/>
                                                    <w:right w:val="none" w:sz="0" w:space="0" w:color="auto"/>
                                                  </w:divBdr>
                                                  <w:divsChild>
                                                    <w:div w:id="857080840">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sChild>
                                                            <w:div w:id="1252353538">
                                                              <w:marLeft w:val="0"/>
                                                              <w:marRight w:val="0"/>
                                                              <w:marTop w:val="0"/>
                                                              <w:marBottom w:val="396"/>
                                                              <w:divBdr>
                                                                <w:top w:val="none" w:sz="0" w:space="0" w:color="auto"/>
                                                                <w:left w:val="none" w:sz="0" w:space="0" w:color="auto"/>
                                                                <w:bottom w:val="none" w:sz="0" w:space="0" w:color="auto"/>
                                                                <w:right w:val="none" w:sz="0" w:space="0" w:color="auto"/>
                                                              </w:divBdr>
                                                              <w:divsChild>
                                                                <w:div w:id="180554705">
                                                                  <w:marLeft w:val="0"/>
                                                                  <w:marRight w:val="0"/>
                                                                  <w:marTop w:val="0"/>
                                                                  <w:marBottom w:val="0"/>
                                                                  <w:divBdr>
                                                                    <w:top w:val="none" w:sz="0" w:space="0" w:color="auto"/>
                                                                    <w:left w:val="none" w:sz="0" w:space="0" w:color="auto"/>
                                                                    <w:bottom w:val="none" w:sz="0" w:space="0" w:color="auto"/>
                                                                    <w:right w:val="none" w:sz="0" w:space="0" w:color="auto"/>
                                                                  </w:divBdr>
                                                                  <w:divsChild>
                                                                    <w:div w:id="114642960">
                                                                      <w:marLeft w:val="0"/>
                                                                      <w:marRight w:val="0"/>
                                                                      <w:marTop w:val="0"/>
                                                                      <w:marBottom w:val="0"/>
                                                                      <w:divBdr>
                                                                        <w:top w:val="none" w:sz="0" w:space="0" w:color="auto"/>
                                                                        <w:left w:val="none" w:sz="0" w:space="0" w:color="auto"/>
                                                                        <w:bottom w:val="none" w:sz="0" w:space="0" w:color="auto"/>
                                                                        <w:right w:val="none" w:sz="0" w:space="0" w:color="auto"/>
                                                                      </w:divBdr>
                                                                      <w:divsChild>
                                                                        <w:div w:id="1456947735">
                                                                          <w:marLeft w:val="0"/>
                                                                          <w:marRight w:val="0"/>
                                                                          <w:marTop w:val="0"/>
                                                                          <w:marBottom w:val="0"/>
                                                                          <w:divBdr>
                                                                            <w:top w:val="none" w:sz="0" w:space="0" w:color="auto"/>
                                                                            <w:left w:val="none" w:sz="0" w:space="0" w:color="auto"/>
                                                                            <w:bottom w:val="none" w:sz="0" w:space="0" w:color="auto"/>
                                                                            <w:right w:val="none" w:sz="0" w:space="0" w:color="auto"/>
                                                                          </w:divBdr>
                                                                          <w:divsChild>
                                                                            <w:div w:id="398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80242">
      <w:bodyDiv w:val="1"/>
      <w:marLeft w:val="0"/>
      <w:marRight w:val="0"/>
      <w:marTop w:val="0"/>
      <w:marBottom w:val="0"/>
      <w:divBdr>
        <w:top w:val="none" w:sz="0" w:space="0" w:color="auto"/>
        <w:left w:val="none" w:sz="0" w:space="0" w:color="auto"/>
        <w:bottom w:val="none" w:sz="0" w:space="0" w:color="auto"/>
        <w:right w:val="none" w:sz="0" w:space="0" w:color="auto"/>
      </w:divBdr>
      <w:divsChild>
        <w:div w:id="1052189125">
          <w:marLeft w:val="0"/>
          <w:marRight w:val="0"/>
          <w:marTop w:val="0"/>
          <w:marBottom w:val="0"/>
          <w:divBdr>
            <w:top w:val="none" w:sz="0" w:space="0" w:color="auto"/>
            <w:left w:val="none" w:sz="0" w:space="0" w:color="auto"/>
            <w:bottom w:val="none" w:sz="0" w:space="0" w:color="auto"/>
            <w:right w:val="none" w:sz="0" w:space="0" w:color="auto"/>
          </w:divBdr>
          <w:divsChild>
            <w:div w:id="970940051">
              <w:marLeft w:val="0"/>
              <w:marRight w:val="0"/>
              <w:marTop w:val="0"/>
              <w:marBottom w:val="0"/>
              <w:divBdr>
                <w:top w:val="none" w:sz="0" w:space="0" w:color="auto"/>
                <w:left w:val="none" w:sz="0" w:space="0" w:color="auto"/>
                <w:bottom w:val="none" w:sz="0" w:space="0" w:color="auto"/>
                <w:right w:val="none" w:sz="0" w:space="0" w:color="auto"/>
              </w:divBdr>
              <w:divsChild>
                <w:div w:id="13422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4118">
      <w:bodyDiv w:val="1"/>
      <w:marLeft w:val="0"/>
      <w:marRight w:val="0"/>
      <w:marTop w:val="0"/>
      <w:marBottom w:val="0"/>
      <w:divBdr>
        <w:top w:val="none" w:sz="0" w:space="0" w:color="auto"/>
        <w:left w:val="none" w:sz="0" w:space="0" w:color="auto"/>
        <w:bottom w:val="none" w:sz="0" w:space="0" w:color="auto"/>
        <w:right w:val="none" w:sz="0" w:space="0" w:color="auto"/>
      </w:divBdr>
      <w:divsChild>
        <w:div w:id="543636982">
          <w:marLeft w:val="0"/>
          <w:marRight w:val="0"/>
          <w:marTop w:val="0"/>
          <w:marBottom w:val="0"/>
          <w:divBdr>
            <w:top w:val="none" w:sz="0" w:space="0" w:color="auto"/>
            <w:left w:val="none" w:sz="0" w:space="0" w:color="auto"/>
            <w:bottom w:val="none" w:sz="0" w:space="0" w:color="auto"/>
            <w:right w:val="none" w:sz="0" w:space="0" w:color="auto"/>
          </w:divBdr>
          <w:divsChild>
            <w:div w:id="1807696898">
              <w:marLeft w:val="0"/>
              <w:marRight w:val="0"/>
              <w:marTop w:val="0"/>
              <w:marBottom w:val="0"/>
              <w:divBdr>
                <w:top w:val="none" w:sz="0" w:space="0" w:color="auto"/>
                <w:left w:val="none" w:sz="0" w:space="0" w:color="auto"/>
                <w:bottom w:val="none" w:sz="0" w:space="0" w:color="auto"/>
                <w:right w:val="none" w:sz="0" w:space="0" w:color="auto"/>
              </w:divBdr>
              <w:divsChild>
                <w:div w:id="1424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2966">
      <w:bodyDiv w:val="1"/>
      <w:marLeft w:val="0"/>
      <w:marRight w:val="0"/>
      <w:marTop w:val="0"/>
      <w:marBottom w:val="0"/>
      <w:divBdr>
        <w:top w:val="none" w:sz="0" w:space="0" w:color="auto"/>
        <w:left w:val="none" w:sz="0" w:space="0" w:color="auto"/>
        <w:bottom w:val="none" w:sz="0" w:space="0" w:color="auto"/>
        <w:right w:val="none" w:sz="0" w:space="0" w:color="auto"/>
      </w:divBdr>
    </w:div>
    <w:div w:id="433286830">
      <w:bodyDiv w:val="1"/>
      <w:marLeft w:val="0"/>
      <w:marRight w:val="0"/>
      <w:marTop w:val="0"/>
      <w:marBottom w:val="0"/>
      <w:divBdr>
        <w:top w:val="none" w:sz="0" w:space="0" w:color="auto"/>
        <w:left w:val="none" w:sz="0" w:space="0" w:color="auto"/>
        <w:bottom w:val="none" w:sz="0" w:space="0" w:color="auto"/>
        <w:right w:val="none" w:sz="0" w:space="0" w:color="auto"/>
      </w:divBdr>
      <w:divsChild>
        <w:div w:id="1954166688">
          <w:marLeft w:val="0"/>
          <w:marRight w:val="0"/>
          <w:marTop w:val="0"/>
          <w:marBottom w:val="0"/>
          <w:divBdr>
            <w:top w:val="none" w:sz="0" w:space="0" w:color="auto"/>
            <w:left w:val="none" w:sz="0" w:space="0" w:color="auto"/>
            <w:bottom w:val="none" w:sz="0" w:space="0" w:color="auto"/>
            <w:right w:val="none" w:sz="0" w:space="0" w:color="auto"/>
          </w:divBdr>
          <w:divsChild>
            <w:div w:id="1086734046">
              <w:marLeft w:val="0"/>
              <w:marRight w:val="0"/>
              <w:marTop w:val="0"/>
              <w:marBottom w:val="0"/>
              <w:divBdr>
                <w:top w:val="none" w:sz="0" w:space="0" w:color="auto"/>
                <w:left w:val="none" w:sz="0" w:space="0" w:color="auto"/>
                <w:bottom w:val="none" w:sz="0" w:space="0" w:color="auto"/>
                <w:right w:val="none" w:sz="0" w:space="0" w:color="auto"/>
              </w:divBdr>
              <w:divsChild>
                <w:div w:id="2120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73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27">
          <w:marLeft w:val="0"/>
          <w:marRight w:val="0"/>
          <w:marTop w:val="0"/>
          <w:marBottom w:val="0"/>
          <w:divBdr>
            <w:top w:val="none" w:sz="0" w:space="0" w:color="auto"/>
            <w:left w:val="none" w:sz="0" w:space="0" w:color="auto"/>
            <w:bottom w:val="none" w:sz="0" w:space="0" w:color="auto"/>
            <w:right w:val="none" w:sz="0" w:space="0" w:color="auto"/>
          </w:divBdr>
          <w:divsChild>
            <w:div w:id="689331193">
              <w:marLeft w:val="0"/>
              <w:marRight w:val="0"/>
              <w:marTop w:val="0"/>
              <w:marBottom w:val="0"/>
              <w:divBdr>
                <w:top w:val="none" w:sz="0" w:space="0" w:color="auto"/>
                <w:left w:val="none" w:sz="0" w:space="0" w:color="auto"/>
                <w:bottom w:val="none" w:sz="0" w:space="0" w:color="auto"/>
                <w:right w:val="none" w:sz="0" w:space="0" w:color="auto"/>
              </w:divBdr>
              <w:divsChild>
                <w:div w:id="1031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2016">
      <w:bodyDiv w:val="1"/>
      <w:marLeft w:val="0"/>
      <w:marRight w:val="0"/>
      <w:marTop w:val="0"/>
      <w:marBottom w:val="0"/>
      <w:divBdr>
        <w:top w:val="none" w:sz="0" w:space="0" w:color="auto"/>
        <w:left w:val="none" w:sz="0" w:space="0" w:color="auto"/>
        <w:bottom w:val="none" w:sz="0" w:space="0" w:color="auto"/>
        <w:right w:val="none" w:sz="0" w:space="0" w:color="auto"/>
      </w:divBdr>
    </w:div>
    <w:div w:id="565993007">
      <w:bodyDiv w:val="1"/>
      <w:marLeft w:val="0"/>
      <w:marRight w:val="0"/>
      <w:marTop w:val="0"/>
      <w:marBottom w:val="0"/>
      <w:divBdr>
        <w:top w:val="none" w:sz="0" w:space="0" w:color="auto"/>
        <w:left w:val="none" w:sz="0" w:space="0" w:color="auto"/>
        <w:bottom w:val="none" w:sz="0" w:space="0" w:color="auto"/>
        <w:right w:val="none" w:sz="0" w:space="0" w:color="auto"/>
      </w:divBdr>
      <w:divsChild>
        <w:div w:id="456459805">
          <w:marLeft w:val="0"/>
          <w:marRight w:val="0"/>
          <w:marTop w:val="0"/>
          <w:marBottom w:val="0"/>
          <w:divBdr>
            <w:top w:val="none" w:sz="0" w:space="0" w:color="auto"/>
            <w:left w:val="none" w:sz="0" w:space="0" w:color="auto"/>
            <w:bottom w:val="none" w:sz="0" w:space="0" w:color="auto"/>
            <w:right w:val="none" w:sz="0" w:space="0" w:color="auto"/>
          </w:divBdr>
          <w:divsChild>
            <w:div w:id="140510969">
              <w:marLeft w:val="0"/>
              <w:marRight w:val="0"/>
              <w:marTop w:val="0"/>
              <w:marBottom w:val="0"/>
              <w:divBdr>
                <w:top w:val="none" w:sz="0" w:space="0" w:color="auto"/>
                <w:left w:val="none" w:sz="0" w:space="0" w:color="auto"/>
                <w:bottom w:val="none" w:sz="0" w:space="0" w:color="auto"/>
                <w:right w:val="none" w:sz="0" w:space="0" w:color="auto"/>
              </w:divBdr>
              <w:divsChild>
                <w:div w:id="1080903732">
                  <w:marLeft w:val="0"/>
                  <w:marRight w:val="0"/>
                  <w:marTop w:val="0"/>
                  <w:marBottom w:val="0"/>
                  <w:divBdr>
                    <w:top w:val="none" w:sz="0" w:space="0" w:color="auto"/>
                    <w:left w:val="none" w:sz="0" w:space="0" w:color="auto"/>
                    <w:bottom w:val="none" w:sz="0" w:space="0" w:color="auto"/>
                    <w:right w:val="none" w:sz="0" w:space="0" w:color="auto"/>
                  </w:divBdr>
                  <w:divsChild>
                    <w:div w:id="535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3274">
      <w:bodyDiv w:val="1"/>
      <w:marLeft w:val="0"/>
      <w:marRight w:val="0"/>
      <w:marTop w:val="0"/>
      <w:marBottom w:val="0"/>
      <w:divBdr>
        <w:top w:val="none" w:sz="0" w:space="0" w:color="auto"/>
        <w:left w:val="none" w:sz="0" w:space="0" w:color="auto"/>
        <w:bottom w:val="none" w:sz="0" w:space="0" w:color="auto"/>
        <w:right w:val="none" w:sz="0" w:space="0" w:color="auto"/>
      </w:divBdr>
    </w:div>
    <w:div w:id="702285159">
      <w:bodyDiv w:val="1"/>
      <w:marLeft w:val="0"/>
      <w:marRight w:val="0"/>
      <w:marTop w:val="0"/>
      <w:marBottom w:val="0"/>
      <w:divBdr>
        <w:top w:val="none" w:sz="0" w:space="0" w:color="auto"/>
        <w:left w:val="none" w:sz="0" w:space="0" w:color="auto"/>
        <w:bottom w:val="none" w:sz="0" w:space="0" w:color="auto"/>
        <w:right w:val="none" w:sz="0" w:space="0" w:color="auto"/>
      </w:divBdr>
    </w:div>
    <w:div w:id="703599034">
      <w:bodyDiv w:val="1"/>
      <w:marLeft w:val="0"/>
      <w:marRight w:val="0"/>
      <w:marTop w:val="0"/>
      <w:marBottom w:val="0"/>
      <w:divBdr>
        <w:top w:val="none" w:sz="0" w:space="0" w:color="auto"/>
        <w:left w:val="none" w:sz="0" w:space="0" w:color="auto"/>
        <w:bottom w:val="none" w:sz="0" w:space="0" w:color="auto"/>
        <w:right w:val="none" w:sz="0" w:space="0" w:color="auto"/>
      </w:divBdr>
      <w:divsChild>
        <w:div w:id="371921308">
          <w:marLeft w:val="0"/>
          <w:marRight w:val="0"/>
          <w:marTop w:val="0"/>
          <w:marBottom w:val="0"/>
          <w:divBdr>
            <w:top w:val="none" w:sz="0" w:space="0" w:color="auto"/>
            <w:left w:val="none" w:sz="0" w:space="0" w:color="auto"/>
            <w:bottom w:val="none" w:sz="0" w:space="0" w:color="auto"/>
            <w:right w:val="none" w:sz="0" w:space="0" w:color="auto"/>
          </w:divBdr>
          <w:divsChild>
            <w:div w:id="368143278">
              <w:marLeft w:val="0"/>
              <w:marRight w:val="0"/>
              <w:marTop w:val="0"/>
              <w:marBottom w:val="0"/>
              <w:divBdr>
                <w:top w:val="none" w:sz="0" w:space="0" w:color="auto"/>
                <w:left w:val="none" w:sz="0" w:space="0" w:color="auto"/>
                <w:bottom w:val="none" w:sz="0" w:space="0" w:color="auto"/>
                <w:right w:val="none" w:sz="0" w:space="0" w:color="auto"/>
              </w:divBdr>
              <w:divsChild>
                <w:div w:id="9659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0142">
      <w:bodyDiv w:val="1"/>
      <w:marLeft w:val="0"/>
      <w:marRight w:val="0"/>
      <w:marTop w:val="0"/>
      <w:marBottom w:val="0"/>
      <w:divBdr>
        <w:top w:val="none" w:sz="0" w:space="0" w:color="auto"/>
        <w:left w:val="none" w:sz="0" w:space="0" w:color="auto"/>
        <w:bottom w:val="none" w:sz="0" w:space="0" w:color="auto"/>
        <w:right w:val="none" w:sz="0" w:space="0" w:color="auto"/>
      </w:divBdr>
      <w:divsChild>
        <w:div w:id="1015498921">
          <w:marLeft w:val="0"/>
          <w:marRight w:val="0"/>
          <w:marTop w:val="0"/>
          <w:marBottom w:val="0"/>
          <w:divBdr>
            <w:top w:val="none" w:sz="0" w:space="0" w:color="auto"/>
            <w:left w:val="none" w:sz="0" w:space="0" w:color="auto"/>
            <w:bottom w:val="none" w:sz="0" w:space="0" w:color="auto"/>
            <w:right w:val="none" w:sz="0" w:space="0" w:color="auto"/>
          </w:divBdr>
          <w:divsChild>
            <w:div w:id="609508423">
              <w:marLeft w:val="0"/>
              <w:marRight w:val="0"/>
              <w:marTop w:val="0"/>
              <w:marBottom w:val="0"/>
              <w:divBdr>
                <w:top w:val="none" w:sz="0" w:space="0" w:color="auto"/>
                <w:left w:val="none" w:sz="0" w:space="0" w:color="auto"/>
                <w:bottom w:val="none" w:sz="0" w:space="0" w:color="auto"/>
                <w:right w:val="none" w:sz="0" w:space="0" w:color="auto"/>
              </w:divBdr>
              <w:divsChild>
                <w:div w:id="1601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8401">
      <w:bodyDiv w:val="1"/>
      <w:marLeft w:val="0"/>
      <w:marRight w:val="0"/>
      <w:marTop w:val="0"/>
      <w:marBottom w:val="0"/>
      <w:divBdr>
        <w:top w:val="none" w:sz="0" w:space="0" w:color="auto"/>
        <w:left w:val="none" w:sz="0" w:space="0" w:color="auto"/>
        <w:bottom w:val="none" w:sz="0" w:space="0" w:color="auto"/>
        <w:right w:val="none" w:sz="0" w:space="0" w:color="auto"/>
      </w:divBdr>
      <w:divsChild>
        <w:div w:id="1557621812">
          <w:marLeft w:val="0"/>
          <w:marRight w:val="0"/>
          <w:marTop w:val="0"/>
          <w:marBottom w:val="0"/>
          <w:divBdr>
            <w:top w:val="none" w:sz="0" w:space="0" w:color="auto"/>
            <w:left w:val="none" w:sz="0" w:space="0" w:color="auto"/>
            <w:bottom w:val="none" w:sz="0" w:space="0" w:color="auto"/>
            <w:right w:val="none" w:sz="0" w:space="0" w:color="auto"/>
          </w:divBdr>
          <w:divsChild>
            <w:div w:id="5639678">
              <w:marLeft w:val="0"/>
              <w:marRight w:val="0"/>
              <w:marTop w:val="0"/>
              <w:marBottom w:val="0"/>
              <w:divBdr>
                <w:top w:val="none" w:sz="0" w:space="0" w:color="auto"/>
                <w:left w:val="none" w:sz="0" w:space="0" w:color="auto"/>
                <w:bottom w:val="none" w:sz="0" w:space="0" w:color="auto"/>
                <w:right w:val="none" w:sz="0" w:space="0" w:color="auto"/>
              </w:divBdr>
              <w:divsChild>
                <w:div w:id="15281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2409">
      <w:bodyDiv w:val="1"/>
      <w:marLeft w:val="0"/>
      <w:marRight w:val="0"/>
      <w:marTop w:val="0"/>
      <w:marBottom w:val="0"/>
      <w:divBdr>
        <w:top w:val="none" w:sz="0" w:space="0" w:color="auto"/>
        <w:left w:val="none" w:sz="0" w:space="0" w:color="auto"/>
        <w:bottom w:val="none" w:sz="0" w:space="0" w:color="auto"/>
        <w:right w:val="none" w:sz="0" w:space="0" w:color="auto"/>
      </w:divBdr>
    </w:div>
    <w:div w:id="820006633">
      <w:bodyDiv w:val="1"/>
      <w:marLeft w:val="0"/>
      <w:marRight w:val="0"/>
      <w:marTop w:val="0"/>
      <w:marBottom w:val="0"/>
      <w:divBdr>
        <w:top w:val="none" w:sz="0" w:space="0" w:color="auto"/>
        <w:left w:val="none" w:sz="0" w:space="0" w:color="auto"/>
        <w:bottom w:val="none" w:sz="0" w:space="0" w:color="auto"/>
        <w:right w:val="none" w:sz="0" w:space="0" w:color="auto"/>
      </w:divBdr>
      <w:divsChild>
        <w:div w:id="306250850">
          <w:marLeft w:val="0"/>
          <w:marRight w:val="0"/>
          <w:marTop w:val="0"/>
          <w:marBottom w:val="0"/>
          <w:divBdr>
            <w:top w:val="none" w:sz="0" w:space="0" w:color="auto"/>
            <w:left w:val="none" w:sz="0" w:space="0" w:color="auto"/>
            <w:bottom w:val="none" w:sz="0" w:space="0" w:color="auto"/>
            <w:right w:val="none" w:sz="0" w:space="0" w:color="auto"/>
          </w:divBdr>
          <w:divsChild>
            <w:div w:id="1704213458">
              <w:marLeft w:val="0"/>
              <w:marRight w:val="0"/>
              <w:marTop w:val="0"/>
              <w:marBottom w:val="0"/>
              <w:divBdr>
                <w:top w:val="none" w:sz="0" w:space="0" w:color="auto"/>
                <w:left w:val="none" w:sz="0" w:space="0" w:color="auto"/>
                <w:bottom w:val="none" w:sz="0" w:space="0" w:color="auto"/>
                <w:right w:val="none" w:sz="0" w:space="0" w:color="auto"/>
              </w:divBdr>
              <w:divsChild>
                <w:div w:id="1801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6416">
      <w:bodyDiv w:val="1"/>
      <w:marLeft w:val="0"/>
      <w:marRight w:val="0"/>
      <w:marTop w:val="0"/>
      <w:marBottom w:val="0"/>
      <w:divBdr>
        <w:top w:val="none" w:sz="0" w:space="0" w:color="auto"/>
        <w:left w:val="none" w:sz="0" w:space="0" w:color="auto"/>
        <w:bottom w:val="none" w:sz="0" w:space="0" w:color="auto"/>
        <w:right w:val="none" w:sz="0" w:space="0" w:color="auto"/>
      </w:divBdr>
      <w:divsChild>
        <w:div w:id="909074360">
          <w:marLeft w:val="0"/>
          <w:marRight w:val="0"/>
          <w:marTop w:val="0"/>
          <w:marBottom w:val="0"/>
          <w:divBdr>
            <w:top w:val="none" w:sz="0" w:space="0" w:color="auto"/>
            <w:left w:val="none" w:sz="0" w:space="0" w:color="auto"/>
            <w:bottom w:val="none" w:sz="0" w:space="0" w:color="auto"/>
            <w:right w:val="none" w:sz="0" w:space="0" w:color="auto"/>
          </w:divBdr>
          <w:divsChild>
            <w:div w:id="1095905562">
              <w:marLeft w:val="0"/>
              <w:marRight w:val="0"/>
              <w:marTop w:val="0"/>
              <w:marBottom w:val="0"/>
              <w:divBdr>
                <w:top w:val="none" w:sz="0" w:space="0" w:color="auto"/>
                <w:left w:val="none" w:sz="0" w:space="0" w:color="auto"/>
                <w:bottom w:val="none" w:sz="0" w:space="0" w:color="auto"/>
                <w:right w:val="none" w:sz="0" w:space="0" w:color="auto"/>
              </w:divBdr>
              <w:divsChild>
                <w:div w:id="2066833413">
                  <w:marLeft w:val="0"/>
                  <w:marRight w:val="0"/>
                  <w:marTop w:val="0"/>
                  <w:marBottom w:val="0"/>
                  <w:divBdr>
                    <w:top w:val="none" w:sz="0" w:space="0" w:color="auto"/>
                    <w:left w:val="none" w:sz="0" w:space="0" w:color="auto"/>
                    <w:bottom w:val="none" w:sz="0" w:space="0" w:color="auto"/>
                    <w:right w:val="none" w:sz="0" w:space="0" w:color="auto"/>
                  </w:divBdr>
                  <w:divsChild>
                    <w:div w:id="11600735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15063801">
                      <w:blockQuote w:val="1"/>
                      <w:marLeft w:val="480"/>
                      <w:marRight w:val="720"/>
                      <w:marTop w:val="100"/>
                      <w:marBottom w:val="100"/>
                      <w:divBdr>
                        <w:top w:val="none" w:sz="0" w:space="0" w:color="auto"/>
                        <w:left w:val="none" w:sz="0" w:space="0" w:color="auto"/>
                        <w:bottom w:val="none" w:sz="0" w:space="0" w:color="auto"/>
                        <w:right w:val="none" w:sz="0" w:space="0" w:color="auto"/>
                      </w:divBdr>
                    </w:div>
                    <w:div w:id="1635135095">
                      <w:blockQuote w:val="1"/>
                      <w:marLeft w:val="480"/>
                      <w:marRight w:val="720"/>
                      <w:marTop w:val="100"/>
                      <w:marBottom w:val="100"/>
                      <w:divBdr>
                        <w:top w:val="none" w:sz="0" w:space="0" w:color="auto"/>
                        <w:left w:val="none" w:sz="0" w:space="0" w:color="auto"/>
                        <w:bottom w:val="none" w:sz="0" w:space="0" w:color="auto"/>
                        <w:right w:val="none" w:sz="0" w:space="0" w:color="auto"/>
                      </w:divBdr>
                    </w:div>
                    <w:div w:id="349993540">
                      <w:blockQuote w:val="1"/>
                      <w:marLeft w:val="480"/>
                      <w:marRight w:val="720"/>
                      <w:marTop w:val="100"/>
                      <w:marBottom w:val="100"/>
                      <w:divBdr>
                        <w:top w:val="none" w:sz="0" w:space="0" w:color="auto"/>
                        <w:left w:val="none" w:sz="0" w:space="0" w:color="auto"/>
                        <w:bottom w:val="none" w:sz="0" w:space="0" w:color="auto"/>
                        <w:right w:val="none" w:sz="0" w:space="0" w:color="auto"/>
                      </w:divBdr>
                    </w:div>
                    <w:div w:id="556547362">
                      <w:blockQuote w:val="1"/>
                      <w:marLeft w:val="480"/>
                      <w:marRight w:val="720"/>
                      <w:marTop w:val="100"/>
                      <w:marBottom w:val="100"/>
                      <w:divBdr>
                        <w:top w:val="none" w:sz="0" w:space="0" w:color="auto"/>
                        <w:left w:val="none" w:sz="0" w:space="0" w:color="auto"/>
                        <w:bottom w:val="none" w:sz="0" w:space="0" w:color="auto"/>
                        <w:right w:val="none" w:sz="0" w:space="0" w:color="auto"/>
                      </w:divBdr>
                    </w:div>
                    <w:div w:id="1326739906">
                      <w:blockQuote w:val="1"/>
                      <w:marLeft w:val="480"/>
                      <w:marRight w:val="720"/>
                      <w:marTop w:val="100"/>
                      <w:marBottom w:val="100"/>
                      <w:divBdr>
                        <w:top w:val="none" w:sz="0" w:space="0" w:color="auto"/>
                        <w:left w:val="none" w:sz="0" w:space="0" w:color="auto"/>
                        <w:bottom w:val="none" w:sz="0" w:space="0" w:color="auto"/>
                        <w:right w:val="none" w:sz="0" w:space="0" w:color="auto"/>
                      </w:divBdr>
                    </w:div>
                    <w:div w:id="9615698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51148222">
                      <w:blockQuote w:val="1"/>
                      <w:marLeft w:val="480"/>
                      <w:marRight w:val="720"/>
                      <w:marTop w:val="100"/>
                      <w:marBottom w:val="100"/>
                      <w:divBdr>
                        <w:top w:val="none" w:sz="0" w:space="0" w:color="auto"/>
                        <w:left w:val="none" w:sz="0" w:space="0" w:color="auto"/>
                        <w:bottom w:val="none" w:sz="0" w:space="0" w:color="auto"/>
                        <w:right w:val="none" w:sz="0" w:space="0" w:color="auto"/>
                      </w:divBdr>
                    </w:div>
                    <w:div w:id="1144007116">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8314327">
      <w:bodyDiv w:val="1"/>
      <w:marLeft w:val="0"/>
      <w:marRight w:val="0"/>
      <w:marTop w:val="0"/>
      <w:marBottom w:val="0"/>
      <w:divBdr>
        <w:top w:val="none" w:sz="0" w:space="0" w:color="auto"/>
        <w:left w:val="none" w:sz="0" w:space="0" w:color="auto"/>
        <w:bottom w:val="none" w:sz="0" w:space="0" w:color="auto"/>
        <w:right w:val="none" w:sz="0" w:space="0" w:color="auto"/>
      </w:divBdr>
      <w:divsChild>
        <w:div w:id="1368410128">
          <w:marLeft w:val="0"/>
          <w:marRight w:val="0"/>
          <w:marTop w:val="0"/>
          <w:marBottom w:val="0"/>
          <w:divBdr>
            <w:top w:val="none" w:sz="0" w:space="0" w:color="auto"/>
            <w:left w:val="none" w:sz="0" w:space="0" w:color="auto"/>
            <w:bottom w:val="none" w:sz="0" w:space="0" w:color="auto"/>
            <w:right w:val="none" w:sz="0" w:space="0" w:color="auto"/>
          </w:divBdr>
          <w:divsChild>
            <w:div w:id="795949065">
              <w:marLeft w:val="0"/>
              <w:marRight w:val="0"/>
              <w:marTop w:val="0"/>
              <w:marBottom w:val="0"/>
              <w:divBdr>
                <w:top w:val="none" w:sz="0" w:space="0" w:color="auto"/>
                <w:left w:val="none" w:sz="0" w:space="0" w:color="auto"/>
                <w:bottom w:val="none" w:sz="0" w:space="0" w:color="auto"/>
                <w:right w:val="none" w:sz="0" w:space="0" w:color="auto"/>
              </w:divBdr>
              <w:divsChild>
                <w:div w:id="11957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9531">
      <w:bodyDiv w:val="1"/>
      <w:marLeft w:val="0"/>
      <w:marRight w:val="0"/>
      <w:marTop w:val="0"/>
      <w:marBottom w:val="0"/>
      <w:divBdr>
        <w:top w:val="none" w:sz="0" w:space="0" w:color="auto"/>
        <w:left w:val="none" w:sz="0" w:space="0" w:color="auto"/>
        <w:bottom w:val="none" w:sz="0" w:space="0" w:color="auto"/>
        <w:right w:val="none" w:sz="0" w:space="0" w:color="auto"/>
      </w:divBdr>
      <w:divsChild>
        <w:div w:id="375155067">
          <w:marLeft w:val="0"/>
          <w:marRight w:val="0"/>
          <w:marTop w:val="0"/>
          <w:marBottom w:val="0"/>
          <w:divBdr>
            <w:top w:val="none" w:sz="0" w:space="0" w:color="auto"/>
            <w:left w:val="none" w:sz="0" w:space="0" w:color="auto"/>
            <w:bottom w:val="none" w:sz="0" w:space="0" w:color="auto"/>
            <w:right w:val="none" w:sz="0" w:space="0" w:color="auto"/>
          </w:divBdr>
          <w:divsChild>
            <w:div w:id="1332634952">
              <w:marLeft w:val="0"/>
              <w:marRight w:val="0"/>
              <w:marTop w:val="0"/>
              <w:marBottom w:val="0"/>
              <w:divBdr>
                <w:top w:val="none" w:sz="0" w:space="0" w:color="auto"/>
                <w:left w:val="none" w:sz="0" w:space="0" w:color="auto"/>
                <w:bottom w:val="none" w:sz="0" w:space="0" w:color="auto"/>
                <w:right w:val="none" w:sz="0" w:space="0" w:color="auto"/>
              </w:divBdr>
              <w:divsChild>
                <w:div w:id="408382193">
                  <w:marLeft w:val="0"/>
                  <w:marRight w:val="0"/>
                  <w:marTop w:val="0"/>
                  <w:marBottom w:val="0"/>
                  <w:divBdr>
                    <w:top w:val="none" w:sz="0" w:space="0" w:color="auto"/>
                    <w:left w:val="none" w:sz="0" w:space="0" w:color="auto"/>
                    <w:bottom w:val="none" w:sz="0" w:space="0" w:color="auto"/>
                    <w:right w:val="none" w:sz="0" w:space="0" w:color="auto"/>
                  </w:divBdr>
                  <w:divsChild>
                    <w:div w:id="726227338">
                      <w:blockQuote w:val="1"/>
                      <w:marLeft w:val="480"/>
                      <w:marRight w:val="720"/>
                      <w:marTop w:val="100"/>
                      <w:marBottom w:val="100"/>
                      <w:divBdr>
                        <w:top w:val="none" w:sz="0" w:space="0" w:color="auto"/>
                        <w:left w:val="none" w:sz="0" w:space="0" w:color="auto"/>
                        <w:bottom w:val="none" w:sz="0" w:space="0" w:color="auto"/>
                        <w:right w:val="none" w:sz="0" w:space="0" w:color="auto"/>
                      </w:divBdr>
                    </w:div>
                    <w:div w:id="715087434">
                      <w:blockQuote w:val="1"/>
                      <w:marLeft w:val="480"/>
                      <w:marRight w:val="720"/>
                      <w:marTop w:val="100"/>
                      <w:marBottom w:val="100"/>
                      <w:divBdr>
                        <w:top w:val="none" w:sz="0" w:space="0" w:color="auto"/>
                        <w:left w:val="none" w:sz="0" w:space="0" w:color="auto"/>
                        <w:bottom w:val="none" w:sz="0" w:space="0" w:color="auto"/>
                        <w:right w:val="none" w:sz="0" w:space="0" w:color="auto"/>
                      </w:divBdr>
                    </w:div>
                    <w:div w:id="1554199083">
                      <w:blockQuote w:val="1"/>
                      <w:marLeft w:val="480"/>
                      <w:marRight w:val="720"/>
                      <w:marTop w:val="100"/>
                      <w:marBottom w:val="100"/>
                      <w:divBdr>
                        <w:top w:val="none" w:sz="0" w:space="0" w:color="auto"/>
                        <w:left w:val="none" w:sz="0" w:space="0" w:color="auto"/>
                        <w:bottom w:val="none" w:sz="0" w:space="0" w:color="auto"/>
                        <w:right w:val="none" w:sz="0" w:space="0" w:color="auto"/>
                      </w:divBdr>
                    </w:div>
                    <w:div w:id="662701498">
                      <w:blockQuote w:val="1"/>
                      <w:marLeft w:val="480"/>
                      <w:marRight w:val="720"/>
                      <w:marTop w:val="100"/>
                      <w:marBottom w:val="100"/>
                      <w:divBdr>
                        <w:top w:val="none" w:sz="0" w:space="0" w:color="auto"/>
                        <w:left w:val="none" w:sz="0" w:space="0" w:color="auto"/>
                        <w:bottom w:val="none" w:sz="0" w:space="0" w:color="auto"/>
                        <w:right w:val="none" w:sz="0" w:space="0" w:color="auto"/>
                      </w:divBdr>
                    </w:div>
                    <w:div w:id="773785871">
                      <w:blockQuote w:val="1"/>
                      <w:marLeft w:val="480"/>
                      <w:marRight w:val="720"/>
                      <w:marTop w:val="100"/>
                      <w:marBottom w:val="100"/>
                      <w:divBdr>
                        <w:top w:val="none" w:sz="0" w:space="0" w:color="auto"/>
                        <w:left w:val="none" w:sz="0" w:space="0" w:color="auto"/>
                        <w:bottom w:val="none" w:sz="0" w:space="0" w:color="auto"/>
                        <w:right w:val="none" w:sz="0" w:space="0" w:color="auto"/>
                      </w:divBdr>
                    </w:div>
                    <w:div w:id="439103638">
                      <w:blockQuote w:val="1"/>
                      <w:marLeft w:val="480"/>
                      <w:marRight w:val="720"/>
                      <w:marTop w:val="100"/>
                      <w:marBottom w:val="100"/>
                      <w:divBdr>
                        <w:top w:val="none" w:sz="0" w:space="0" w:color="auto"/>
                        <w:left w:val="none" w:sz="0" w:space="0" w:color="auto"/>
                        <w:bottom w:val="none" w:sz="0" w:space="0" w:color="auto"/>
                        <w:right w:val="none" w:sz="0" w:space="0" w:color="auto"/>
                      </w:divBdr>
                    </w:div>
                    <w:div w:id="1903128758">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9162720">
      <w:bodyDiv w:val="1"/>
      <w:marLeft w:val="0"/>
      <w:marRight w:val="0"/>
      <w:marTop w:val="0"/>
      <w:marBottom w:val="0"/>
      <w:divBdr>
        <w:top w:val="none" w:sz="0" w:space="0" w:color="auto"/>
        <w:left w:val="none" w:sz="0" w:space="0" w:color="auto"/>
        <w:bottom w:val="none" w:sz="0" w:space="0" w:color="auto"/>
        <w:right w:val="none" w:sz="0" w:space="0" w:color="auto"/>
      </w:divBdr>
    </w:div>
    <w:div w:id="1110784872">
      <w:bodyDiv w:val="1"/>
      <w:marLeft w:val="0"/>
      <w:marRight w:val="0"/>
      <w:marTop w:val="0"/>
      <w:marBottom w:val="0"/>
      <w:divBdr>
        <w:top w:val="none" w:sz="0" w:space="0" w:color="auto"/>
        <w:left w:val="none" w:sz="0" w:space="0" w:color="auto"/>
        <w:bottom w:val="none" w:sz="0" w:space="0" w:color="auto"/>
        <w:right w:val="none" w:sz="0" w:space="0" w:color="auto"/>
      </w:divBdr>
      <w:divsChild>
        <w:div w:id="444933381">
          <w:marLeft w:val="0"/>
          <w:marRight w:val="0"/>
          <w:marTop w:val="0"/>
          <w:marBottom w:val="0"/>
          <w:divBdr>
            <w:top w:val="none" w:sz="0" w:space="0" w:color="auto"/>
            <w:left w:val="none" w:sz="0" w:space="0" w:color="auto"/>
            <w:bottom w:val="none" w:sz="0" w:space="0" w:color="auto"/>
            <w:right w:val="none" w:sz="0" w:space="0" w:color="auto"/>
          </w:divBdr>
          <w:divsChild>
            <w:div w:id="635910474">
              <w:marLeft w:val="0"/>
              <w:marRight w:val="0"/>
              <w:marTop w:val="0"/>
              <w:marBottom w:val="0"/>
              <w:divBdr>
                <w:top w:val="none" w:sz="0" w:space="0" w:color="auto"/>
                <w:left w:val="none" w:sz="0" w:space="0" w:color="auto"/>
                <w:bottom w:val="none" w:sz="0" w:space="0" w:color="auto"/>
                <w:right w:val="none" w:sz="0" w:space="0" w:color="auto"/>
              </w:divBdr>
            </w:div>
            <w:div w:id="1528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6855">
      <w:bodyDiv w:val="1"/>
      <w:marLeft w:val="0"/>
      <w:marRight w:val="0"/>
      <w:marTop w:val="0"/>
      <w:marBottom w:val="0"/>
      <w:divBdr>
        <w:top w:val="none" w:sz="0" w:space="0" w:color="auto"/>
        <w:left w:val="none" w:sz="0" w:space="0" w:color="auto"/>
        <w:bottom w:val="none" w:sz="0" w:space="0" w:color="auto"/>
        <w:right w:val="none" w:sz="0" w:space="0" w:color="auto"/>
      </w:divBdr>
      <w:divsChild>
        <w:div w:id="13465203">
          <w:marLeft w:val="0"/>
          <w:marRight w:val="0"/>
          <w:marTop w:val="0"/>
          <w:marBottom w:val="0"/>
          <w:divBdr>
            <w:top w:val="none" w:sz="0" w:space="0" w:color="auto"/>
            <w:left w:val="none" w:sz="0" w:space="0" w:color="auto"/>
            <w:bottom w:val="none" w:sz="0" w:space="0" w:color="auto"/>
            <w:right w:val="none" w:sz="0" w:space="0" w:color="auto"/>
          </w:divBdr>
          <w:divsChild>
            <w:div w:id="88160183">
              <w:marLeft w:val="0"/>
              <w:marRight w:val="0"/>
              <w:marTop w:val="0"/>
              <w:marBottom w:val="0"/>
              <w:divBdr>
                <w:top w:val="none" w:sz="0" w:space="0" w:color="auto"/>
                <w:left w:val="none" w:sz="0" w:space="0" w:color="auto"/>
                <w:bottom w:val="none" w:sz="0" w:space="0" w:color="auto"/>
                <w:right w:val="none" w:sz="0" w:space="0" w:color="auto"/>
              </w:divBdr>
              <w:divsChild>
                <w:div w:id="873226407">
                  <w:marLeft w:val="0"/>
                  <w:marRight w:val="0"/>
                  <w:marTop w:val="0"/>
                  <w:marBottom w:val="0"/>
                  <w:divBdr>
                    <w:top w:val="none" w:sz="0" w:space="0" w:color="auto"/>
                    <w:left w:val="none" w:sz="0" w:space="0" w:color="auto"/>
                    <w:bottom w:val="none" w:sz="0" w:space="0" w:color="auto"/>
                    <w:right w:val="none" w:sz="0" w:space="0" w:color="auto"/>
                  </w:divBdr>
                  <w:divsChild>
                    <w:div w:id="189613924">
                      <w:blockQuote w:val="1"/>
                      <w:marLeft w:val="480"/>
                      <w:marRight w:val="720"/>
                      <w:marTop w:val="100"/>
                      <w:marBottom w:val="100"/>
                      <w:divBdr>
                        <w:top w:val="none" w:sz="0" w:space="0" w:color="auto"/>
                        <w:left w:val="none" w:sz="0" w:space="0" w:color="auto"/>
                        <w:bottom w:val="none" w:sz="0" w:space="0" w:color="auto"/>
                        <w:right w:val="none" w:sz="0" w:space="0" w:color="auto"/>
                      </w:divBdr>
                    </w:div>
                    <w:div w:id="1868251332">
                      <w:blockQuote w:val="1"/>
                      <w:marLeft w:val="480"/>
                      <w:marRight w:val="720"/>
                      <w:marTop w:val="100"/>
                      <w:marBottom w:val="100"/>
                      <w:divBdr>
                        <w:top w:val="none" w:sz="0" w:space="0" w:color="auto"/>
                        <w:left w:val="none" w:sz="0" w:space="0" w:color="auto"/>
                        <w:bottom w:val="none" w:sz="0" w:space="0" w:color="auto"/>
                        <w:right w:val="none" w:sz="0" w:space="0" w:color="auto"/>
                      </w:divBdr>
                    </w:div>
                    <w:div w:id="1113941727">
                      <w:blockQuote w:val="1"/>
                      <w:marLeft w:val="480"/>
                      <w:marRight w:val="720"/>
                      <w:marTop w:val="100"/>
                      <w:marBottom w:val="100"/>
                      <w:divBdr>
                        <w:top w:val="none" w:sz="0" w:space="0" w:color="auto"/>
                        <w:left w:val="none" w:sz="0" w:space="0" w:color="auto"/>
                        <w:bottom w:val="none" w:sz="0" w:space="0" w:color="auto"/>
                        <w:right w:val="none" w:sz="0" w:space="0" w:color="auto"/>
                      </w:divBdr>
                    </w:div>
                    <w:div w:id="830950030">
                      <w:blockQuote w:val="1"/>
                      <w:marLeft w:val="480"/>
                      <w:marRight w:val="720"/>
                      <w:marTop w:val="100"/>
                      <w:marBottom w:val="100"/>
                      <w:divBdr>
                        <w:top w:val="none" w:sz="0" w:space="0" w:color="auto"/>
                        <w:left w:val="none" w:sz="0" w:space="0" w:color="auto"/>
                        <w:bottom w:val="none" w:sz="0" w:space="0" w:color="auto"/>
                        <w:right w:val="none" w:sz="0" w:space="0" w:color="auto"/>
                      </w:divBdr>
                    </w:div>
                    <w:div w:id="929388682">
                      <w:blockQuote w:val="1"/>
                      <w:marLeft w:val="480"/>
                      <w:marRight w:val="720"/>
                      <w:marTop w:val="100"/>
                      <w:marBottom w:val="100"/>
                      <w:divBdr>
                        <w:top w:val="none" w:sz="0" w:space="0" w:color="auto"/>
                        <w:left w:val="none" w:sz="0" w:space="0" w:color="auto"/>
                        <w:bottom w:val="none" w:sz="0" w:space="0" w:color="auto"/>
                        <w:right w:val="none" w:sz="0" w:space="0" w:color="auto"/>
                      </w:divBdr>
                    </w:div>
                    <w:div w:id="112986200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1117828">
      <w:bodyDiv w:val="1"/>
      <w:marLeft w:val="0"/>
      <w:marRight w:val="0"/>
      <w:marTop w:val="0"/>
      <w:marBottom w:val="0"/>
      <w:divBdr>
        <w:top w:val="none" w:sz="0" w:space="0" w:color="auto"/>
        <w:left w:val="none" w:sz="0" w:space="0" w:color="auto"/>
        <w:bottom w:val="none" w:sz="0" w:space="0" w:color="auto"/>
        <w:right w:val="none" w:sz="0" w:space="0" w:color="auto"/>
      </w:divBdr>
      <w:divsChild>
        <w:div w:id="1114057983">
          <w:marLeft w:val="0"/>
          <w:marRight w:val="0"/>
          <w:marTop w:val="0"/>
          <w:marBottom w:val="0"/>
          <w:divBdr>
            <w:top w:val="none" w:sz="0" w:space="0" w:color="auto"/>
            <w:left w:val="none" w:sz="0" w:space="0" w:color="auto"/>
            <w:bottom w:val="none" w:sz="0" w:space="0" w:color="auto"/>
            <w:right w:val="none" w:sz="0" w:space="0" w:color="auto"/>
          </w:divBdr>
          <w:divsChild>
            <w:div w:id="2085030561">
              <w:marLeft w:val="0"/>
              <w:marRight w:val="0"/>
              <w:marTop w:val="0"/>
              <w:marBottom w:val="0"/>
              <w:divBdr>
                <w:top w:val="none" w:sz="0" w:space="0" w:color="auto"/>
                <w:left w:val="none" w:sz="0" w:space="0" w:color="auto"/>
                <w:bottom w:val="none" w:sz="0" w:space="0" w:color="auto"/>
                <w:right w:val="none" w:sz="0" w:space="0" w:color="auto"/>
              </w:divBdr>
              <w:divsChild>
                <w:div w:id="753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8884">
      <w:bodyDiv w:val="1"/>
      <w:marLeft w:val="0"/>
      <w:marRight w:val="0"/>
      <w:marTop w:val="0"/>
      <w:marBottom w:val="0"/>
      <w:divBdr>
        <w:top w:val="none" w:sz="0" w:space="0" w:color="auto"/>
        <w:left w:val="none" w:sz="0" w:space="0" w:color="auto"/>
        <w:bottom w:val="none" w:sz="0" w:space="0" w:color="auto"/>
        <w:right w:val="none" w:sz="0" w:space="0" w:color="auto"/>
      </w:divBdr>
      <w:divsChild>
        <w:div w:id="351032067">
          <w:marLeft w:val="0"/>
          <w:marRight w:val="0"/>
          <w:marTop w:val="0"/>
          <w:marBottom w:val="0"/>
          <w:divBdr>
            <w:top w:val="none" w:sz="0" w:space="0" w:color="auto"/>
            <w:left w:val="none" w:sz="0" w:space="0" w:color="auto"/>
            <w:bottom w:val="none" w:sz="0" w:space="0" w:color="auto"/>
            <w:right w:val="none" w:sz="0" w:space="0" w:color="auto"/>
          </w:divBdr>
          <w:divsChild>
            <w:div w:id="1049450529">
              <w:marLeft w:val="0"/>
              <w:marRight w:val="0"/>
              <w:marTop w:val="0"/>
              <w:marBottom w:val="0"/>
              <w:divBdr>
                <w:top w:val="none" w:sz="0" w:space="0" w:color="auto"/>
                <w:left w:val="none" w:sz="0" w:space="0" w:color="auto"/>
                <w:bottom w:val="none" w:sz="0" w:space="0" w:color="auto"/>
                <w:right w:val="none" w:sz="0" w:space="0" w:color="auto"/>
              </w:divBdr>
              <w:divsChild>
                <w:div w:id="1446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7414">
      <w:bodyDiv w:val="1"/>
      <w:marLeft w:val="0"/>
      <w:marRight w:val="0"/>
      <w:marTop w:val="0"/>
      <w:marBottom w:val="0"/>
      <w:divBdr>
        <w:top w:val="none" w:sz="0" w:space="0" w:color="auto"/>
        <w:left w:val="none" w:sz="0" w:space="0" w:color="auto"/>
        <w:bottom w:val="none" w:sz="0" w:space="0" w:color="auto"/>
        <w:right w:val="none" w:sz="0" w:space="0" w:color="auto"/>
      </w:divBdr>
      <w:divsChild>
        <w:div w:id="1429037114">
          <w:marLeft w:val="0"/>
          <w:marRight w:val="0"/>
          <w:marTop w:val="0"/>
          <w:marBottom w:val="0"/>
          <w:divBdr>
            <w:top w:val="none" w:sz="0" w:space="0" w:color="auto"/>
            <w:left w:val="none" w:sz="0" w:space="0" w:color="auto"/>
            <w:bottom w:val="none" w:sz="0" w:space="0" w:color="auto"/>
            <w:right w:val="none" w:sz="0" w:space="0" w:color="auto"/>
          </w:divBdr>
          <w:divsChild>
            <w:div w:id="2068649634">
              <w:marLeft w:val="0"/>
              <w:marRight w:val="0"/>
              <w:marTop w:val="0"/>
              <w:marBottom w:val="0"/>
              <w:divBdr>
                <w:top w:val="none" w:sz="0" w:space="0" w:color="auto"/>
                <w:left w:val="none" w:sz="0" w:space="0" w:color="auto"/>
                <w:bottom w:val="none" w:sz="0" w:space="0" w:color="auto"/>
                <w:right w:val="none" w:sz="0" w:space="0" w:color="auto"/>
              </w:divBdr>
              <w:divsChild>
                <w:div w:id="72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2260">
      <w:bodyDiv w:val="1"/>
      <w:marLeft w:val="0"/>
      <w:marRight w:val="0"/>
      <w:marTop w:val="0"/>
      <w:marBottom w:val="0"/>
      <w:divBdr>
        <w:top w:val="none" w:sz="0" w:space="0" w:color="auto"/>
        <w:left w:val="none" w:sz="0" w:space="0" w:color="auto"/>
        <w:bottom w:val="none" w:sz="0" w:space="0" w:color="auto"/>
        <w:right w:val="none" w:sz="0" w:space="0" w:color="auto"/>
      </w:divBdr>
      <w:divsChild>
        <w:div w:id="533737541">
          <w:marLeft w:val="0"/>
          <w:marRight w:val="0"/>
          <w:marTop w:val="0"/>
          <w:marBottom w:val="0"/>
          <w:divBdr>
            <w:top w:val="none" w:sz="0" w:space="0" w:color="auto"/>
            <w:left w:val="none" w:sz="0" w:space="0" w:color="auto"/>
            <w:bottom w:val="none" w:sz="0" w:space="0" w:color="auto"/>
            <w:right w:val="none" w:sz="0" w:space="0" w:color="auto"/>
          </w:divBdr>
          <w:divsChild>
            <w:div w:id="1372343078">
              <w:marLeft w:val="0"/>
              <w:marRight w:val="0"/>
              <w:marTop w:val="0"/>
              <w:marBottom w:val="0"/>
              <w:divBdr>
                <w:top w:val="none" w:sz="0" w:space="0" w:color="auto"/>
                <w:left w:val="single" w:sz="48" w:space="0" w:color="FFFFFF"/>
                <w:bottom w:val="none" w:sz="0" w:space="0" w:color="auto"/>
                <w:right w:val="single" w:sz="48" w:space="0" w:color="FFFFFF"/>
              </w:divBdr>
              <w:divsChild>
                <w:div w:id="965891293">
                  <w:marLeft w:val="0"/>
                  <w:marRight w:val="0"/>
                  <w:marTop w:val="0"/>
                  <w:marBottom w:val="0"/>
                  <w:divBdr>
                    <w:top w:val="none" w:sz="0" w:space="0" w:color="auto"/>
                    <w:left w:val="none" w:sz="0" w:space="0" w:color="auto"/>
                    <w:bottom w:val="none" w:sz="0" w:space="0" w:color="auto"/>
                    <w:right w:val="none" w:sz="0" w:space="0" w:color="auto"/>
                  </w:divBdr>
                  <w:divsChild>
                    <w:div w:id="811554990">
                      <w:marLeft w:val="0"/>
                      <w:marRight w:val="0"/>
                      <w:marTop w:val="0"/>
                      <w:marBottom w:val="0"/>
                      <w:divBdr>
                        <w:top w:val="none" w:sz="0" w:space="0" w:color="auto"/>
                        <w:left w:val="none" w:sz="0" w:space="0" w:color="auto"/>
                        <w:bottom w:val="none" w:sz="0" w:space="0" w:color="auto"/>
                        <w:right w:val="none" w:sz="0" w:space="0" w:color="auto"/>
                      </w:divBdr>
                      <w:divsChild>
                        <w:div w:id="1096174722">
                          <w:marLeft w:val="0"/>
                          <w:marRight w:val="0"/>
                          <w:marTop w:val="0"/>
                          <w:marBottom w:val="0"/>
                          <w:divBdr>
                            <w:top w:val="none" w:sz="0" w:space="0" w:color="auto"/>
                            <w:left w:val="none" w:sz="0" w:space="0" w:color="auto"/>
                            <w:bottom w:val="none" w:sz="0" w:space="0" w:color="auto"/>
                            <w:right w:val="none" w:sz="0" w:space="0" w:color="auto"/>
                          </w:divBdr>
                          <w:divsChild>
                            <w:div w:id="401022703">
                              <w:marLeft w:val="0"/>
                              <w:marRight w:val="0"/>
                              <w:marTop w:val="0"/>
                              <w:marBottom w:val="0"/>
                              <w:divBdr>
                                <w:top w:val="none" w:sz="0" w:space="0" w:color="auto"/>
                                <w:left w:val="none" w:sz="0" w:space="0" w:color="auto"/>
                                <w:bottom w:val="none" w:sz="0" w:space="0" w:color="auto"/>
                                <w:right w:val="none" w:sz="0" w:space="0" w:color="auto"/>
                              </w:divBdr>
                              <w:divsChild>
                                <w:div w:id="1534263693">
                                  <w:marLeft w:val="0"/>
                                  <w:marRight w:val="0"/>
                                  <w:marTop w:val="0"/>
                                  <w:marBottom w:val="0"/>
                                  <w:divBdr>
                                    <w:top w:val="none" w:sz="0" w:space="0" w:color="auto"/>
                                    <w:left w:val="none" w:sz="0" w:space="0" w:color="auto"/>
                                    <w:bottom w:val="none" w:sz="0" w:space="0" w:color="auto"/>
                                    <w:right w:val="none" w:sz="0" w:space="0" w:color="auto"/>
                                  </w:divBdr>
                                  <w:divsChild>
                                    <w:div w:id="134177681">
                                      <w:marLeft w:val="0"/>
                                      <w:marRight w:val="0"/>
                                      <w:marTop w:val="0"/>
                                      <w:marBottom w:val="0"/>
                                      <w:divBdr>
                                        <w:top w:val="none" w:sz="0" w:space="0" w:color="auto"/>
                                        <w:left w:val="none" w:sz="0" w:space="0" w:color="auto"/>
                                        <w:bottom w:val="none" w:sz="0" w:space="0" w:color="auto"/>
                                        <w:right w:val="none" w:sz="0" w:space="0" w:color="auto"/>
                                      </w:divBdr>
                                      <w:divsChild>
                                        <w:div w:id="365445522">
                                          <w:marLeft w:val="0"/>
                                          <w:marRight w:val="0"/>
                                          <w:marTop w:val="0"/>
                                          <w:marBottom w:val="0"/>
                                          <w:divBdr>
                                            <w:top w:val="none" w:sz="0" w:space="0" w:color="auto"/>
                                            <w:left w:val="none" w:sz="0" w:space="0" w:color="auto"/>
                                            <w:bottom w:val="none" w:sz="0" w:space="0" w:color="auto"/>
                                            <w:right w:val="none" w:sz="0" w:space="0" w:color="auto"/>
                                          </w:divBdr>
                                          <w:divsChild>
                                            <w:div w:id="2115401810">
                                              <w:marLeft w:val="0"/>
                                              <w:marRight w:val="0"/>
                                              <w:marTop w:val="0"/>
                                              <w:marBottom w:val="0"/>
                                              <w:divBdr>
                                                <w:top w:val="none" w:sz="0" w:space="0" w:color="auto"/>
                                                <w:left w:val="none" w:sz="0" w:space="0" w:color="auto"/>
                                                <w:bottom w:val="none" w:sz="0" w:space="0" w:color="auto"/>
                                                <w:right w:val="none" w:sz="0" w:space="0" w:color="auto"/>
                                              </w:divBdr>
                                              <w:divsChild>
                                                <w:div w:id="2084793415">
                                                  <w:marLeft w:val="0"/>
                                                  <w:marRight w:val="0"/>
                                                  <w:marTop w:val="0"/>
                                                  <w:marBottom w:val="0"/>
                                                  <w:divBdr>
                                                    <w:top w:val="none" w:sz="0" w:space="0" w:color="auto"/>
                                                    <w:left w:val="none" w:sz="0" w:space="0" w:color="auto"/>
                                                    <w:bottom w:val="none" w:sz="0" w:space="0" w:color="auto"/>
                                                    <w:right w:val="none" w:sz="0" w:space="0" w:color="auto"/>
                                                  </w:divBdr>
                                                  <w:divsChild>
                                                    <w:div w:id="1181817541">
                                                      <w:marLeft w:val="0"/>
                                                      <w:marRight w:val="0"/>
                                                      <w:marTop w:val="0"/>
                                                      <w:marBottom w:val="0"/>
                                                      <w:divBdr>
                                                        <w:top w:val="none" w:sz="0" w:space="0" w:color="auto"/>
                                                        <w:left w:val="none" w:sz="0" w:space="0" w:color="auto"/>
                                                        <w:bottom w:val="none" w:sz="0" w:space="0" w:color="auto"/>
                                                        <w:right w:val="none" w:sz="0" w:space="0" w:color="auto"/>
                                                      </w:divBdr>
                                                      <w:divsChild>
                                                        <w:div w:id="575671806">
                                                          <w:marLeft w:val="0"/>
                                                          <w:marRight w:val="0"/>
                                                          <w:marTop w:val="0"/>
                                                          <w:marBottom w:val="0"/>
                                                          <w:divBdr>
                                                            <w:top w:val="none" w:sz="0" w:space="0" w:color="auto"/>
                                                            <w:left w:val="none" w:sz="0" w:space="0" w:color="auto"/>
                                                            <w:bottom w:val="none" w:sz="0" w:space="0" w:color="auto"/>
                                                            <w:right w:val="none" w:sz="0" w:space="0" w:color="auto"/>
                                                          </w:divBdr>
                                                          <w:divsChild>
                                                            <w:div w:id="94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131507">
      <w:bodyDiv w:val="1"/>
      <w:marLeft w:val="0"/>
      <w:marRight w:val="0"/>
      <w:marTop w:val="0"/>
      <w:marBottom w:val="0"/>
      <w:divBdr>
        <w:top w:val="none" w:sz="0" w:space="0" w:color="auto"/>
        <w:left w:val="none" w:sz="0" w:space="0" w:color="auto"/>
        <w:bottom w:val="none" w:sz="0" w:space="0" w:color="auto"/>
        <w:right w:val="none" w:sz="0" w:space="0" w:color="auto"/>
      </w:divBdr>
      <w:divsChild>
        <w:div w:id="1213270769">
          <w:marLeft w:val="0"/>
          <w:marRight w:val="0"/>
          <w:marTop w:val="0"/>
          <w:marBottom w:val="0"/>
          <w:divBdr>
            <w:top w:val="none" w:sz="0" w:space="0" w:color="auto"/>
            <w:left w:val="none" w:sz="0" w:space="0" w:color="auto"/>
            <w:bottom w:val="none" w:sz="0" w:space="0" w:color="auto"/>
            <w:right w:val="none" w:sz="0" w:space="0" w:color="auto"/>
          </w:divBdr>
          <w:divsChild>
            <w:div w:id="1983462556">
              <w:marLeft w:val="0"/>
              <w:marRight w:val="0"/>
              <w:marTop w:val="0"/>
              <w:marBottom w:val="0"/>
              <w:divBdr>
                <w:top w:val="none" w:sz="0" w:space="0" w:color="auto"/>
                <w:left w:val="none" w:sz="0" w:space="0" w:color="auto"/>
                <w:bottom w:val="none" w:sz="0" w:space="0" w:color="auto"/>
                <w:right w:val="none" w:sz="0" w:space="0" w:color="auto"/>
              </w:divBdr>
              <w:divsChild>
                <w:div w:id="592512377">
                  <w:marLeft w:val="0"/>
                  <w:marRight w:val="0"/>
                  <w:marTop w:val="0"/>
                  <w:marBottom w:val="0"/>
                  <w:divBdr>
                    <w:top w:val="none" w:sz="0" w:space="0" w:color="auto"/>
                    <w:left w:val="none" w:sz="0" w:space="0" w:color="auto"/>
                    <w:bottom w:val="none" w:sz="0" w:space="0" w:color="auto"/>
                    <w:right w:val="none" w:sz="0" w:space="0" w:color="auto"/>
                  </w:divBdr>
                  <w:divsChild>
                    <w:div w:id="1218203987">
                      <w:blockQuote w:val="1"/>
                      <w:marLeft w:val="480"/>
                      <w:marRight w:val="720"/>
                      <w:marTop w:val="100"/>
                      <w:marBottom w:val="100"/>
                      <w:divBdr>
                        <w:top w:val="none" w:sz="0" w:space="0" w:color="auto"/>
                        <w:left w:val="none" w:sz="0" w:space="0" w:color="auto"/>
                        <w:bottom w:val="none" w:sz="0" w:space="0" w:color="auto"/>
                        <w:right w:val="none" w:sz="0" w:space="0" w:color="auto"/>
                      </w:divBdr>
                    </w:div>
                    <w:div w:id="25758536">
                      <w:blockQuote w:val="1"/>
                      <w:marLeft w:val="480"/>
                      <w:marRight w:val="720"/>
                      <w:marTop w:val="100"/>
                      <w:marBottom w:val="100"/>
                      <w:divBdr>
                        <w:top w:val="none" w:sz="0" w:space="0" w:color="auto"/>
                        <w:left w:val="none" w:sz="0" w:space="0" w:color="auto"/>
                        <w:bottom w:val="none" w:sz="0" w:space="0" w:color="auto"/>
                        <w:right w:val="none" w:sz="0" w:space="0" w:color="auto"/>
                      </w:divBdr>
                    </w:div>
                    <w:div w:id="116274098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7103897">
      <w:bodyDiv w:val="1"/>
      <w:marLeft w:val="0"/>
      <w:marRight w:val="0"/>
      <w:marTop w:val="0"/>
      <w:marBottom w:val="0"/>
      <w:divBdr>
        <w:top w:val="none" w:sz="0" w:space="0" w:color="auto"/>
        <w:left w:val="none" w:sz="0" w:space="0" w:color="auto"/>
        <w:bottom w:val="none" w:sz="0" w:space="0" w:color="auto"/>
        <w:right w:val="none" w:sz="0" w:space="0" w:color="auto"/>
      </w:divBdr>
    </w:div>
    <w:div w:id="1308898742">
      <w:bodyDiv w:val="1"/>
      <w:marLeft w:val="0"/>
      <w:marRight w:val="0"/>
      <w:marTop w:val="0"/>
      <w:marBottom w:val="0"/>
      <w:divBdr>
        <w:top w:val="none" w:sz="0" w:space="0" w:color="auto"/>
        <w:left w:val="none" w:sz="0" w:space="0" w:color="auto"/>
        <w:bottom w:val="none" w:sz="0" w:space="0" w:color="auto"/>
        <w:right w:val="none" w:sz="0" w:space="0" w:color="auto"/>
      </w:divBdr>
    </w:div>
    <w:div w:id="1314798086">
      <w:bodyDiv w:val="1"/>
      <w:marLeft w:val="0"/>
      <w:marRight w:val="0"/>
      <w:marTop w:val="0"/>
      <w:marBottom w:val="0"/>
      <w:divBdr>
        <w:top w:val="none" w:sz="0" w:space="0" w:color="auto"/>
        <w:left w:val="none" w:sz="0" w:space="0" w:color="auto"/>
        <w:bottom w:val="none" w:sz="0" w:space="0" w:color="auto"/>
        <w:right w:val="none" w:sz="0" w:space="0" w:color="auto"/>
      </w:divBdr>
      <w:divsChild>
        <w:div w:id="2107187288">
          <w:marLeft w:val="0"/>
          <w:marRight w:val="0"/>
          <w:marTop w:val="0"/>
          <w:marBottom w:val="0"/>
          <w:divBdr>
            <w:top w:val="none" w:sz="0" w:space="0" w:color="auto"/>
            <w:left w:val="none" w:sz="0" w:space="0" w:color="auto"/>
            <w:bottom w:val="none" w:sz="0" w:space="0" w:color="auto"/>
            <w:right w:val="none" w:sz="0" w:space="0" w:color="auto"/>
          </w:divBdr>
          <w:divsChild>
            <w:div w:id="703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424">
      <w:bodyDiv w:val="1"/>
      <w:marLeft w:val="0"/>
      <w:marRight w:val="0"/>
      <w:marTop w:val="0"/>
      <w:marBottom w:val="0"/>
      <w:divBdr>
        <w:top w:val="none" w:sz="0" w:space="0" w:color="auto"/>
        <w:left w:val="none" w:sz="0" w:space="0" w:color="auto"/>
        <w:bottom w:val="none" w:sz="0" w:space="0" w:color="auto"/>
        <w:right w:val="none" w:sz="0" w:space="0" w:color="auto"/>
      </w:divBdr>
    </w:div>
    <w:div w:id="1335182792">
      <w:bodyDiv w:val="1"/>
      <w:marLeft w:val="0"/>
      <w:marRight w:val="0"/>
      <w:marTop w:val="0"/>
      <w:marBottom w:val="0"/>
      <w:divBdr>
        <w:top w:val="none" w:sz="0" w:space="0" w:color="auto"/>
        <w:left w:val="none" w:sz="0" w:space="0" w:color="auto"/>
        <w:bottom w:val="none" w:sz="0" w:space="0" w:color="auto"/>
        <w:right w:val="none" w:sz="0" w:space="0" w:color="auto"/>
      </w:divBdr>
    </w:div>
    <w:div w:id="1412894086">
      <w:bodyDiv w:val="1"/>
      <w:marLeft w:val="0"/>
      <w:marRight w:val="0"/>
      <w:marTop w:val="0"/>
      <w:marBottom w:val="0"/>
      <w:divBdr>
        <w:top w:val="none" w:sz="0" w:space="0" w:color="auto"/>
        <w:left w:val="none" w:sz="0" w:space="0" w:color="auto"/>
        <w:bottom w:val="none" w:sz="0" w:space="0" w:color="auto"/>
        <w:right w:val="none" w:sz="0" w:space="0" w:color="auto"/>
      </w:divBdr>
      <w:divsChild>
        <w:div w:id="1083648465">
          <w:marLeft w:val="0"/>
          <w:marRight w:val="0"/>
          <w:marTop w:val="0"/>
          <w:marBottom w:val="0"/>
          <w:divBdr>
            <w:top w:val="none" w:sz="0" w:space="0" w:color="auto"/>
            <w:left w:val="none" w:sz="0" w:space="0" w:color="auto"/>
            <w:bottom w:val="none" w:sz="0" w:space="0" w:color="auto"/>
            <w:right w:val="none" w:sz="0" w:space="0" w:color="auto"/>
          </w:divBdr>
          <w:divsChild>
            <w:div w:id="1458640182">
              <w:marLeft w:val="0"/>
              <w:marRight w:val="0"/>
              <w:marTop w:val="0"/>
              <w:marBottom w:val="0"/>
              <w:divBdr>
                <w:top w:val="none" w:sz="0" w:space="0" w:color="auto"/>
                <w:left w:val="none" w:sz="0" w:space="0" w:color="auto"/>
                <w:bottom w:val="none" w:sz="0" w:space="0" w:color="auto"/>
                <w:right w:val="none" w:sz="0" w:space="0" w:color="auto"/>
              </w:divBdr>
              <w:divsChild>
                <w:div w:id="1978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132">
      <w:bodyDiv w:val="1"/>
      <w:marLeft w:val="0"/>
      <w:marRight w:val="0"/>
      <w:marTop w:val="0"/>
      <w:marBottom w:val="0"/>
      <w:divBdr>
        <w:top w:val="none" w:sz="0" w:space="0" w:color="auto"/>
        <w:left w:val="none" w:sz="0" w:space="0" w:color="auto"/>
        <w:bottom w:val="none" w:sz="0" w:space="0" w:color="auto"/>
        <w:right w:val="none" w:sz="0" w:space="0" w:color="auto"/>
      </w:divBdr>
      <w:divsChild>
        <w:div w:id="386539307">
          <w:marLeft w:val="0"/>
          <w:marRight w:val="0"/>
          <w:marTop w:val="0"/>
          <w:marBottom w:val="0"/>
          <w:divBdr>
            <w:top w:val="none" w:sz="0" w:space="0" w:color="auto"/>
            <w:left w:val="none" w:sz="0" w:space="0" w:color="auto"/>
            <w:bottom w:val="none" w:sz="0" w:space="0" w:color="auto"/>
            <w:right w:val="none" w:sz="0" w:space="0" w:color="auto"/>
          </w:divBdr>
          <w:divsChild>
            <w:div w:id="137694806">
              <w:marLeft w:val="0"/>
              <w:marRight w:val="0"/>
              <w:marTop w:val="0"/>
              <w:marBottom w:val="0"/>
              <w:divBdr>
                <w:top w:val="none" w:sz="0" w:space="0" w:color="auto"/>
                <w:left w:val="none" w:sz="0" w:space="0" w:color="auto"/>
                <w:bottom w:val="none" w:sz="0" w:space="0" w:color="auto"/>
                <w:right w:val="none" w:sz="0" w:space="0" w:color="auto"/>
              </w:divBdr>
              <w:divsChild>
                <w:div w:id="436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7892">
      <w:bodyDiv w:val="1"/>
      <w:marLeft w:val="0"/>
      <w:marRight w:val="0"/>
      <w:marTop w:val="0"/>
      <w:marBottom w:val="0"/>
      <w:divBdr>
        <w:top w:val="none" w:sz="0" w:space="0" w:color="auto"/>
        <w:left w:val="none" w:sz="0" w:space="0" w:color="auto"/>
        <w:bottom w:val="none" w:sz="0" w:space="0" w:color="auto"/>
        <w:right w:val="none" w:sz="0" w:space="0" w:color="auto"/>
      </w:divBdr>
      <w:divsChild>
        <w:div w:id="108821001">
          <w:marLeft w:val="0"/>
          <w:marRight w:val="0"/>
          <w:marTop w:val="0"/>
          <w:marBottom w:val="0"/>
          <w:divBdr>
            <w:top w:val="none" w:sz="0" w:space="0" w:color="auto"/>
            <w:left w:val="none" w:sz="0" w:space="0" w:color="auto"/>
            <w:bottom w:val="none" w:sz="0" w:space="0" w:color="auto"/>
            <w:right w:val="none" w:sz="0" w:space="0" w:color="auto"/>
          </w:divBdr>
          <w:divsChild>
            <w:div w:id="542668182">
              <w:marLeft w:val="0"/>
              <w:marRight w:val="0"/>
              <w:marTop w:val="0"/>
              <w:marBottom w:val="0"/>
              <w:divBdr>
                <w:top w:val="none" w:sz="0" w:space="0" w:color="auto"/>
                <w:left w:val="none" w:sz="0" w:space="0" w:color="auto"/>
                <w:bottom w:val="none" w:sz="0" w:space="0" w:color="auto"/>
                <w:right w:val="none" w:sz="0" w:space="0" w:color="auto"/>
              </w:divBdr>
              <w:divsChild>
                <w:div w:id="300040311">
                  <w:marLeft w:val="0"/>
                  <w:marRight w:val="0"/>
                  <w:marTop w:val="0"/>
                  <w:marBottom w:val="0"/>
                  <w:divBdr>
                    <w:top w:val="none" w:sz="0" w:space="0" w:color="auto"/>
                    <w:left w:val="none" w:sz="0" w:space="0" w:color="auto"/>
                    <w:bottom w:val="none" w:sz="0" w:space="0" w:color="auto"/>
                    <w:right w:val="none" w:sz="0" w:space="0" w:color="auto"/>
                  </w:divBdr>
                </w:div>
              </w:divsChild>
            </w:div>
            <w:div w:id="175387091">
              <w:marLeft w:val="0"/>
              <w:marRight w:val="0"/>
              <w:marTop w:val="0"/>
              <w:marBottom w:val="0"/>
              <w:divBdr>
                <w:top w:val="none" w:sz="0" w:space="0" w:color="auto"/>
                <w:left w:val="none" w:sz="0" w:space="0" w:color="auto"/>
                <w:bottom w:val="none" w:sz="0" w:space="0" w:color="auto"/>
                <w:right w:val="none" w:sz="0" w:space="0" w:color="auto"/>
              </w:divBdr>
              <w:divsChild>
                <w:div w:id="425422021">
                  <w:marLeft w:val="0"/>
                  <w:marRight w:val="0"/>
                  <w:marTop w:val="0"/>
                  <w:marBottom w:val="0"/>
                  <w:divBdr>
                    <w:top w:val="none" w:sz="0" w:space="0" w:color="auto"/>
                    <w:left w:val="none" w:sz="0" w:space="0" w:color="auto"/>
                    <w:bottom w:val="none" w:sz="0" w:space="0" w:color="auto"/>
                    <w:right w:val="none" w:sz="0" w:space="0" w:color="auto"/>
                  </w:divBdr>
                </w:div>
                <w:div w:id="1790201024">
                  <w:marLeft w:val="0"/>
                  <w:marRight w:val="0"/>
                  <w:marTop w:val="0"/>
                  <w:marBottom w:val="0"/>
                  <w:divBdr>
                    <w:top w:val="none" w:sz="0" w:space="0" w:color="auto"/>
                    <w:left w:val="none" w:sz="0" w:space="0" w:color="auto"/>
                    <w:bottom w:val="none" w:sz="0" w:space="0" w:color="auto"/>
                    <w:right w:val="none" w:sz="0" w:space="0" w:color="auto"/>
                  </w:divBdr>
                </w:div>
              </w:divsChild>
            </w:div>
            <w:div w:id="2113234646">
              <w:marLeft w:val="0"/>
              <w:marRight w:val="0"/>
              <w:marTop w:val="0"/>
              <w:marBottom w:val="0"/>
              <w:divBdr>
                <w:top w:val="none" w:sz="0" w:space="0" w:color="auto"/>
                <w:left w:val="none" w:sz="0" w:space="0" w:color="auto"/>
                <w:bottom w:val="none" w:sz="0" w:space="0" w:color="auto"/>
                <w:right w:val="none" w:sz="0" w:space="0" w:color="auto"/>
              </w:divBdr>
              <w:divsChild>
                <w:div w:id="142041920">
                  <w:marLeft w:val="0"/>
                  <w:marRight w:val="0"/>
                  <w:marTop w:val="0"/>
                  <w:marBottom w:val="0"/>
                  <w:divBdr>
                    <w:top w:val="none" w:sz="0" w:space="0" w:color="auto"/>
                    <w:left w:val="none" w:sz="0" w:space="0" w:color="auto"/>
                    <w:bottom w:val="none" w:sz="0" w:space="0" w:color="auto"/>
                    <w:right w:val="none" w:sz="0" w:space="0" w:color="auto"/>
                  </w:divBdr>
                </w:div>
                <w:div w:id="738282655">
                  <w:marLeft w:val="0"/>
                  <w:marRight w:val="0"/>
                  <w:marTop w:val="0"/>
                  <w:marBottom w:val="0"/>
                  <w:divBdr>
                    <w:top w:val="none" w:sz="0" w:space="0" w:color="auto"/>
                    <w:left w:val="none" w:sz="0" w:space="0" w:color="auto"/>
                    <w:bottom w:val="none" w:sz="0" w:space="0" w:color="auto"/>
                    <w:right w:val="none" w:sz="0" w:space="0" w:color="auto"/>
                  </w:divBdr>
                </w:div>
              </w:divsChild>
            </w:div>
            <w:div w:id="1652560959">
              <w:marLeft w:val="0"/>
              <w:marRight w:val="0"/>
              <w:marTop w:val="0"/>
              <w:marBottom w:val="0"/>
              <w:divBdr>
                <w:top w:val="none" w:sz="0" w:space="0" w:color="auto"/>
                <w:left w:val="none" w:sz="0" w:space="0" w:color="auto"/>
                <w:bottom w:val="none" w:sz="0" w:space="0" w:color="auto"/>
                <w:right w:val="none" w:sz="0" w:space="0" w:color="auto"/>
              </w:divBdr>
              <w:divsChild>
                <w:div w:id="1480999820">
                  <w:marLeft w:val="0"/>
                  <w:marRight w:val="0"/>
                  <w:marTop w:val="0"/>
                  <w:marBottom w:val="0"/>
                  <w:divBdr>
                    <w:top w:val="none" w:sz="0" w:space="0" w:color="auto"/>
                    <w:left w:val="none" w:sz="0" w:space="0" w:color="auto"/>
                    <w:bottom w:val="none" w:sz="0" w:space="0" w:color="auto"/>
                    <w:right w:val="none" w:sz="0" w:space="0" w:color="auto"/>
                  </w:divBdr>
                </w:div>
              </w:divsChild>
            </w:div>
            <w:div w:id="523713095">
              <w:marLeft w:val="0"/>
              <w:marRight w:val="0"/>
              <w:marTop w:val="0"/>
              <w:marBottom w:val="0"/>
              <w:divBdr>
                <w:top w:val="none" w:sz="0" w:space="0" w:color="auto"/>
                <w:left w:val="none" w:sz="0" w:space="0" w:color="auto"/>
                <w:bottom w:val="none" w:sz="0" w:space="0" w:color="auto"/>
                <w:right w:val="none" w:sz="0" w:space="0" w:color="auto"/>
              </w:divBdr>
              <w:divsChild>
                <w:div w:id="986862237">
                  <w:marLeft w:val="0"/>
                  <w:marRight w:val="0"/>
                  <w:marTop w:val="0"/>
                  <w:marBottom w:val="0"/>
                  <w:divBdr>
                    <w:top w:val="none" w:sz="0" w:space="0" w:color="auto"/>
                    <w:left w:val="none" w:sz="0" w:space="0" w:color="auto"/>
                    <w:bottom w:val="none" w:sz="0" w:space="0" w:color="auto"/>
                    <w:right w:val="none" w:sz="0" w:space="0" w:color="auto"/>
                  </w:divBdr>
                </w:div>
                <w:div w:id="2010671899">
                  <w:marLeft w:val="0"/>
                  <w:marRight w:val="0"/>
                  <w:marTop w:val="0"/>
                  <w:marBottom w:val="0"/>
                  <w:divBdr>
                    <w:top w:val="none" w:sz="0" w:space="0" w:color="auto"/>
                    <w:left w:val="none" w:sz="0" w:space="0" w:color="auto"/>
                    <w:bottom w:val="none" w:sz="0" w:space="0" w:color="auto"/>
                    <w:right w:val="none" w:sz="0" w:space="0" w:color="auto"/>
                  </w:divBdr>
                </w:div>
              </w:divsChild>
            </w:div>
            <w:div w:id="1145466214">
              <w:marLeft w:val="0"/>
              <w:marRight w:val="0"/>
              <w:marTop w:val="0"/>
              <w:marBottom w:val="0"/>
              <w:divBdr>
                <w:top w:val="none" w:sz="0" w:space="0" w:color="auto"/>
                <w:left w:val="none" w:sz="0" w:space="0" w:color="auto"/>
                <w:bottom w:val="none" w:sz="0" w:space="0" w:color="auto"/>
                <w:right w:val="none" w:sz="0" w:space="0" w:color="auto"/>
              </w:divBdr>
              <w:divsChild>
                <w:div w:id="1560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508">
      <w:bodyDiv w:val="1"/>
      <w:marLeft w:val="0"/>
      <w:marRight w:val="0"/>
      <w:marTop w:val="0"/>
      <w:marBottom w:val="0"/>
      <w:divBdr>
        <w:top w:val="none" w:sz="0" w:space="0" w:color="auto"/>
        <w:left w:val="none" w:sz="0" w:space="0" w:color="auto"/>
        <w:bottom w:val="none" w:sz="0" w:space="0" w:color="auto"/>
        <w:right w:val="none" w:sz="0" w:space="0" w:color="auto"/>
      </w:divBdr>
      <w:divsChild>
        <w:div w:id="852112867">
          <w:marLeft w:val="0"/>
          <w:marRight w:val="0"/>
          <w:marTop w:val="0"/>
          <w:marBottom w:val="0"/>
          <w:divBdr>
            <w:top w:val="none" w:sz="0" w:space="0" w:color="auto"/>
            <w:left w:val="none" w:sz="0" w:space="0" w:color="auto"/>
            <w:bottom w:val="none" w:sz="0" w:space="0" w:color="auto"/>
            <w:right w:val="none" w:sz="0" w:space="0" w:color="auto"/>
          </w:divBdr>
        </w:div>
        <w:div w:id="1854951644">
          <w:marLeft w:val="0"/>
          <w:marRight w:val="0"/>
          <w:marTop w:val="0"/>
          <w:marBottom w:val="0"/>
          <w:divBdr>
            <w:top w:val="none" w:sz="0" w:space="0" w:color="auto"/>
            <w:left w:val="none" w:sz="0" w:space="0" w:color="auto"/>
            <w:bottom w:val="none" w:sz="0" w:space="0" w:color="auto"/>
            <w:right w:val="none" w:sz="0" w:space="0" w:color="auto"/>
          </w:divBdr>
        </w:div>
        <w:div w:id="732628443">
          <w:marLeft w:val="0"/>
          <w:marRight w:val="0"/>
          <w:marTop w:val="0"/>
          <w:marBottom w:val="0"/>
          <w:divBdr>
            <w:top w:val="none" w:sz="0" w:space="0" w:color="auto"/>
            <w:left w:val="none" w:sz="0" w:space="0" w:color="auto"/>
            <w:bottom w:val="none" w:sz="0" w:space="0" w:color="auto"/>
            <w:right w:val="none" w:sz="0" w:space="0" w:color="auto"/>
          </w:divBdr>
        </w:div>
      </w:divsChild>
    </w:div>
    <w:div w:id="1579947307">
      <w:bodyDiv w:val="1"/>
      <w:marLeft w:val="0"/>
      <w:marRight w:val="0"/>
      <w:marTop w:val="0"/>
      <w:marBottom w:val="0"/>
      <w:divBdr>
        <w:top w:val="none" w:sz="0" w:space="0" w:color="auto"/>
        <w:left w:val="none" w:sz="0" w:space="0" w:color="auto"/>
        <w:bottom w:val="none" w:sz="0" w:space="0" w:color="auto"/>
        <w:right w:val="none" w:sz="0" w:space="0" w:color="auto"/>
      </w:divBdr>
      <w:divsChild>
        <w:div w:id="253437493">
          <w:marLeft w:val="0"/>
          <w:marRight w:val="0"/>
          <w:marTop w:val="0"/>
          <w:marBottom w:val="0"/>
          <w:divBdr>
            <w:top w:val="none" w:sz="0" w:space="0" w:color="auto"/>
            <w:left w:val="none" w:sz="0" w:space="0" w:color="auto"/>
            <w:bottom w:val="none" w:sz="0" w:space="0" w:color="auto"/>
            <w:right w:val="none" w:sz="0" w:space="0" w:color="auto"/>
          </w:divBdr>
          <w:divsChild>
            <w:div w:id="1190756208">
              <w:marLeft w:val="0"/>
              <w:marRight w:val="0"/>
              <w:marTop w:val="0"/>
              <w:marBottom w:val="0"/>
              <w:divBdr>
                <w:top w:val="none" w:sz="0" w:space="0" w:color="auto"/>
                <w:left w:val="none" w:sz="0" w:space="0" w:color="auto"/>
                <w:bottom w:val="none" w:sz="0" w:space="0" w:color="auto"/>
                <w:right w:val="none" w:sz="0" w:space="0" w:color="auto"/>
              </w:divBdr>
              <w:divsChild>
                <w:div w:id="1198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0666">
      <w:bodyDiv w:val="1"/>
      <w:marLeft w:val="0"/>
      <w:marRight w:val="0"/>
      <w:marTop w:val="0"/>
      <w:marBottom w:val="0"/>
      <w:divBdr>
        <w:top w:val="none" w:sz="0" w:space="0" w:color="auto"/>
        <w:left w:val="none" w:sz="0" w:space="0" w:color="auto"/>
        <w:bottom w:val="none" w:sz="0" w:space="0" w:color="auto"/>
        <w:right w:val="none" w:sz="0" w:space="0" w:color="auto"/>
      </w:divBdr>
      <w:divsChild>
        <w:div w:id="1323510489">
          <w:marLeft w:val="0"/>
          <w:marRight w:val="0"/>
          <w:marTop w:val="0"/>
          <w:marBottom w:val="0"/>
          <w:divBdr>
            <w:top w:val="none" w:sz="0" w:space="0" w:color="auto"/>
            <w:left w:val="none" w:sz="0" w:space="0" w:color="auto"/>
            <w:bottom w:val="none" w:sz="0" w:space="0" w:color="auto"/>
            <w:right w:val="none" w:sz="0" w:space="0" w:color="auto"/>
          </w:divBdr>
          <w:divsChild>
            <w:div w:id="1887377985">
              <w:marLeft w:val="0"/>
              <w:marRight w:val="0"/>
              <w:marTop w:val="0"/>
              <w:marBottom w:val="0"/>
              <w:divBdr>
                <w:top w:val="none" w:sz="0" w:space="0" w:color="auto"/>
                <w:left w:val="none" w:sz="0" w:space="0" w:color="auto"/>
                <w:bottom w:val="none" w:sz="0" w:space="0" w:color="auto"/>
                <w:right w:val="none" w:sz="0" w:space="0" w:color="auto"/>
              </w:divBdr>
              <w:divsChild>
                <w:div w:id="919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3891">
      <w:bodyDiv w:val="1"/>
      <w:marLeft w:val="0"/>
      <w:marRight w:val="0"/>
      <w:marTop w:val="0"/>
      <w:marBottom w:val="0"/>
      <w:divBdr>
        <w:top w:val="none" w:sz="0" w:space="0" w:color="auto"/>
        <w:left w:val="none" w:sz="0" w:space="0" w:color="auto"/>
        <w:bottom w:val="none" w:sz="0" w:space="0" w:color="auto"/>
        <w:right w:val="none" w:sz="0" w:space="0" w:color="auto"/>
      </w:divBdr>
      <w:divsChild>
        <w:div w:id="1010331164">
          <w:marLeft w:val="0"/>
          <w:marRight w:val="0"/>
          <w:marTop w:val="0"/>
          <w:marBottom w:val="0"/>
          <w:divBdr>
            <w:top w:val="none" w:sz="0" w:space="0" w:color="auto"/>
            <w:left w:val="none" w:sz="0" w:space="0" w:color="auto"/>
            <w:bottom w:val="none" w:sz="0" w:space="0" w:color="auto"/>
            <w:right w:val="none" w:sz="0" w:space="0" w:color="auto"/>
          </w:divBdr>
          <w:divsChild>
            <w:div w:id="1754273808">
              <w:marLeft w:val="0"/>
              <w:marRight w:val="0"/>
              <w:marTop w:val="0"/>
              <w:marBottom w:val="0"/>
              <w:divBdr>
                <w:top w:val="none" w:sz="0" w:space="0" w:color="auto"/>
                <w:left w:val="none" w:sz="0" w:space="0" w:color="auto"/>
                <w:bottom w:val="none" w:sz="0" w:space="0" w:color="auto"/>
                <w:right w:val="none" w:sz="0" w:space="0" w:color="auto"/>
              </w:divBdr>
              <w:divsChild>
                <w:div w:id="14703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7301">
      <w:bodyDiv w:val="1"/>
      <w:marLeft w:val="0"/>
      <w:marRight w:val="0"/>
      <w:marTop w:val="0"/>
      <w:marBottom w:val="0"/>
      <w:divBdr>
        <w:top w:val="none" w:sz="0" w:space="0" w:color="auto"/>
        <w:left w:val="none" w:sz="0" w:space="0" w:color="auto"/>
        <w:bottom w:val="none" w:sz="0" w:space="0" w:color="auto"/>
        <w:right w:val="none" w:sz="0" w:space="0" w:color="auto"/>
      </w:divBdr>
    </w:div>
    <w:div w:id="1676297644">
      <w:bodyDiv w:val="1"/>
      <w:marLeft w:val="0"/>
      <w:marRight w:val="0"/>
      <w:marTop w:val="0"/>
      <w:marBottom w:val="0"/>
      <w:divBdr>
        <w:top w:val="none" w:sz="0" w:space="0" w:color="auto"/>
        <w:left w:val="none" w:sz="0" w:space="0" w:color="auto"/>
        <w:bottom w:val="none" w:sz="0" w:space="0" w:color="auto"/>
        <w:right w:val="none" w:sz="0" w:space="0" w:color="auto"/>
      </w:divBdr>
      <w:divsChild>
        <w:div w:id="129985860">
          <w:marLeft w:val="0"/>
          <w:marRight w:val="0"/>
          <w:marTop w:val="0"/>
          <w:marBottom w:val="0"/>
          <w:divBdr>
            <w:top w:val="none" w:sz="0" w:space="0" w:color="auto"/>
            <w:left w:val="none" w:sz="0" w:space="0" w:color="auto"/>
            <w:bottom w:val="none" w:sz="0" w:space="0" w:color="auto"/>
            <w:right w:val="none" w:sz="0" w:space="0" w:color="auto"/>
          </w:divBdr>
          <w:divsChild>
            <w:div w:id="73935612">
              <w:marLeft w:val="0"/>
              <w:marRight w:val="0"/>
              <w:marTop w:val="0"/>
              <w:marBottom w:val="0"/>
              <w:divBdr>
                <w:top w:val="none" w:sz="0" w:space="0" w:color="auto"/>
                <w:left w:val="none" w:sz="0" w:space="0" w:color="auto"/>
                <w:bottom w:val="none" w:sz="0" w:space="0" w:color="auto"/>
                <w:right w:val="none" w:sz="0" w:space="0" w:color="auto"/>
              </w:divBdr>
              <w:divsChild>
                <w:div w:id="505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106">
      <w:bodyDiv w:val="1"/>
      <w:marLeft w:val="0"/>
      <w:marRight w:val="0"/>
      <w:marTop w:val="0"/>
      <w:marBottom w:val="0"/>
      <w:divBdr>
        <w:top w:val="none" w:sz="0" w:space="0" w:color="auto"/>
        <w:left w:val="none" w:sz="0" w:space="0" w:color="auto"/>
        <w:bottom w:val="none" w:sz="0" w:space="0" w:color="auto"/>
        <w:right w:val="none" w:sz="0" w:space="0" w:color="auto"/>
      </w:divBdr>
    </w:div>
    <w:div w:id="1705059590">
      <w:bodyDiv w:val="1"/>
      <w:marLeft w:val="0"/>
      <w:marRight w:val="0"/>
      <w:marTop w:val="0"/>
      <w:marBottom w:val="0"/>
      <w:divBdr>
        <w:top w:val="none" w:sz="0" w:space="0" w:color="auto"/>
        <w:left w:val="none" w:sz="0" w:space="0" w:color="auto"/>
        <w:bottom w:val="none" w:sz="0" w:space="0" w:color="auto"/>
        <w:right w:val="none" w:sz="0" w:space="0" w:color="auto"/>
      </w:divBdr>
      <w:divsChild>
        <w:div w:id="2016423598">
          <w:marLeft w:val="0"/>
          <w:marRight w:val="0"/>
          <w:marTop w:val="0"/>
          <w:marBottom w:val="0"/>
          <w:divBdr>
            <w:top w:val="none" w:sz="0" w:space="0" w:color="auto"/>
            <w:left w:val="none" w:sz="0" w:space="0" w:color="auto"/>
            <w:bottom w:val="none" w:sz="0" w:space="0" w:color="auto"/>
            <w:right w:val="none" w:sz="0" w:space="0" w:color="auto"/>
          </w:divBdr>
          <w:divsChild>
            <w:div w:id="1362439111">
              <w:marLeft w:val="0"/>
              <w:marRight w:val="0"/>
              <w:marTop w:val="0"/>
              <w:marBottom w:val="0"/>
              <w:divBdr>
                <w:top w:val="none" w:sz="0" w:space="0" w:color="auto"/>
                <w:left w:val="none" w:sz="0" w:space="0" w:color="auto"/>
                <w:bottom w:val="none" w:sz="0" w:space="0" w:color="auto"/>
                <w:right w:val="none" w:sz="0" w:space="0" w:color="auto"/>
              </w:divBdr>
              <w:divsChild>
                <w:div w:id="608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5393">
      <w:bodyDiv w:val="1"/>
      <w:marLeft w:val="0"/>
      <w:marRight w:val="0"/>
      <w:marTop w:val="0"/>
      <w:marBottom w:val="0"/>
      <w:divBdr>
        <w:top w:val="none" w:sz="0" w:space="0" w:color="auto"/>
        <w:left w:val="none" w:sz="0" w:space="0" w:color="auto"/>
        <w:bottom w:val="none" w:sz="0" w:space="0" w:color="auto"/>
        <w:right w:val="none" w:sz="0" w:space="0" w:color="auto"/>
      </w:divBdr>
      <w:divsChild>
        <w:div w:id="1245140293">
          <w:marLeft w:val="0"/>
          <w:marRight w:val="0"/>
          <w:marTop w:val="0"/>
          <w:marBottom w:val="0"/>
          <w:divBdr>
            <w:top w:val="none" w:sz="0" w:space="0" w:color="auto"/>
            <w:left w:val="none" w:sz="0" w:space="0" w:color="auto"/>
            <w:bottom w:val="none" w:sz="0" w:space="0" w:color="auto"/>
            <w:right w:val="none" w:sz="0" w:space="0" w:color="auto"/>
          </w:divBdr>
          <w:divsChild>
            <w:div w:id="138152762">
              <w:marLeft w:val="0"/>
              <w:marRight w:val="0"/>
              <w:marTop w:val="0"/>
              <w:marBottom w:val="0"/>
              <w:divBdr>
                <w:top w:val="none" w:sz="0" w:space="0" w:color="auto"/>
                <w:left w:val="none" w:sz="0" w:space="0" w:color="auto"/>
                <w:bottom w:val="none" w:sz="0" w:space="0" w:color="auto"/>
                <w:right w:val="none" w:sz="0" w:space="0" w:color="auto"/>
              </w:divBdr>
              <w:divsChild>
                <w:div w:id="9653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1485">
      <w:bodyDiv w:val="1"/>
      <w:marLeft w:val="0"/>
      <w:marRight w:val="0"/>
      <w:marTop w:val="0"/>
      <w:marBottom w:val="0"/>
      <w:divBdr>
        <w:top w:val="none" w:sz="0" w:space="0" w:color="auto"/>
        <w:left w:val="none" w:sz="0" w:space="0" w:color="auto"/>
        <w:bottom w:val="none" w:sz="0" w:space="0" w:color="auto"/>
        <w:right w:val="none" w:sz="0" w:space="0" w:color="auto"/>
      </w:divBdr>
    </w:div>
    <w:div w:id="1744793075">
      <w:bodyDiv w:val="1"/>
      <w:marLeft w:val="0"/>
      <w:marRight w:val="0"/>
      <w:marTop w:val="0"/>
      <w:marBottom w:val="0"/>
      <w:divBdr>
        <w:top w:val="none" w:sz="0" w:space="0" w:color="auto"/>
        <w:left w:val="none" w:sz="0" w:space="0" w:color="auto"/>
        <w:bottom w:val="none" w:sz="0" w:space="0" w:color="auto"/>
        <w:right w:val="none" w:sz="0" w:space="0" w:color="auto"/>
      </w:divBdr>
      <w:divsChild>
        <w:div w:id="2075426444">
          <w:marLeft w:val="0"/>
          <w:marRight w:val="0"/>
          <w:marTop w:val="0"/>
          <w:marBottom w:val="0"/>
          <w:divBdr>
            <w:top w:val="none" w:sz="0" w:space="0" w:color="auto"/>
            <w:left w:val="none" w:sz="0" w:space="0" w:color="auto"/>
            <w:bottom w:val="none" w:sz="0" w:space="0" w:color="auto"/>
            <w:right w:val="none" w:sz="0" w:space="0" w:color="auto"/>
          </w:divBdr>
          <w:divsChild>
            <w:div w:id="1684434374">
              <w:marLeft w:val="0"/>
              <w:marRight w:val="0"/>
              <w:marTop w:val="0"/>
              <w:marBottom w:val="0"/>
              <w:divBdr>
                <w:top w:val="none" w:sz="0" w:space="0" w:color="auto"/>
                <w:left w:val="none" w:sz="0" w:space="0" w:color="auto"/>
                <w:bottom w:val="none" w:sz="0" w:space="0" w:color="auto"/>
                <w:right w:val="none" w:sz="0" w:space="0" w:color="auto"/>
              </w:divBdr>
              <w:divsChild>
                <w:div w:id="1845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070">
      <w:bodyDiv w:val="1"/>
      <w:marLeft w:val="0"/>
      <w:marRight w:val="0"/>
      <w:marTop w:val="0"/>
      <w:marBottom w:val="0"/>
      <w:divBdr>
        <w:top w:val="none" w:sz="0" w:space="0" w:color="auto"/>
        <w:left w:val="none" w:sz="0" w:space="0" w:color="auto"/>
        <w:bottom w:val="none" w:sz="0" w:space="0" w:color="auto"/>
        <w:right w:val="none" w:sz="0" w:space="0" w:color="auto"/>
      </w:divBdr>
    </w:div>
    <w:div w:id="1835997251">
      <w:bodyDiv w:val="1"/>
      <w:marLeft w:val="0"/>
      <w:marRight w:val="0"/>
      <w:marTop w:val="0"/>
      <w:marBottom w:val="0"/>
      <w:divBdr>
        <w:top w:val="none" w:sz="0" w:space="0" w:color="auto"/>
        <w:left w:val="none" w:sz="0" w:space="0" w:color="auto"/>
        <w:bottom w:val="none" w:sz="0" w:space="0" w:color="auto"/>
        <w:right w:val="none" w:sz="0" w:space="0" w:color="auto"/>
      </w:divBdr>
    </w:div>
    <w:div w:id="1866941792">
      <w:bodyDiv w:val="1"/>
      <w:marLeft w:val="0"/>
      <w:marRight w:val="0"/>
      <w:marTop w:val="0"/>
      <w:marBottom w:val="0"/>
      <w:divBdr>
        <w:top w:val="none" w:sz="0" w:space="0" w:color="auto"/>
        <w:left w:val="none" w:sz="0" w:space="0" w:color="auto"/>
        <w:bottom w:val="none" w:sz="0" w:space="0" w:color="auto"/>
        <w:right w:val="none" w:sz="0" w:space="0" w:color="auto"/>
      </w:divBdr>
    </w:div>
    <w:div w:id="1954246400">
      <w:bodyDiv w:val="1"/>
      <w:marLeft w:val="0"/>
      <w:marRight w:val="0"/>
      <w:marTop w:val="0"/>
      <w:marBottom w:val="0"/>
      <w:divBdr>
        <w:top w:val="none" w:sz="0" w:space="0" w:color="auto"/>
        <w:left w:val="none" w:sz="0" w:space="0" w:color="auto"/>
        <w:bottom w:val="none" w:sz="0" w:space="0" w:color="auto"/>
        <w:right w:val="none" w:sz="0" w:space="0" w:color="auto"/>
      </w:divBdr>
      <w:divsChild>
        <w:div w:id="478157455">
          <w:marLeft w:val="0"/>
          <w:marRight w:val="0"/>
          <w:marTop w:val="0"/>
          <w:marBottom w:val="0"/>
          <w:divBdr>
            <w:top w:val="none" w:sz="0" w:space="0" w:color="auto"/>
            <w:left w:val="none" w:sz="0" w:space="0" w:color="auto"/>
            <w:bottom w:val="none" w:sz="0" w:space="0" w:color="auto"/>
            <w:right w:val="none" w:sz="0" w:space="0" w:color="auto"/>
          </w:divBdr>
          <w:divsChild>
            <w:div w:id="1177695483">
              <w:marLeft w:val="0"/>
              <w:marRight w:val="0"/>
              <w:marTop w:val="0"/>
              <w:marBottom w:val="0"/>
              <w:divBdr>
                <w:top w:val="none" w:sz="0" w:space="0" w:color="auto"/>
                <w:left w:val="none" w:sz="0" w:space="0" w:color="auto"/>
                <w:bottom w:val="none" w:sz="0" w:space="0" w:color="auto"/>
                <w:right w:val="none" w:sz="0" w:space="0" w:color="auto"/>
              </w:divBdr>
              <w:divsChild>
                <w:div w:id="1161430011">
                  <w:marLeft w:val="0"/>
                  <w:marRight w:val="0"/>
                  <w:marTop w:val="0"/>
                  <w:marBottom w:val="0"/>
                  <w:divBdr>
                    <w:top w:val="none" w:sz="0" w:space="0" w:color="auto"/>
                    <w:left w:val="none" w:sz="0" w:space="0" w:color="auto"/>
                    <w:bottom w:val="none" w:sz="0" w:space="0" w:color="auto"/>
                    <w:right w:val="none" w:sz="0" w:space="0" w:color="auto"/>
                  </w:divBdr>
                  <w:divsChild>
                    <w:div w:id="1431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6742">
      <w:bodyDiv w:val="1"/>
      <w:marLeft w:val="0"/>
      <w:marRight w:val="0"/>
      <w:marTop w:val="0"/>
      <w:marBottom w:val="0"/>
      <w:divBdr>
        <w:top w:val="none" w:sz="0" w:space="0" w:color="auto"/>
        <w:left w:val="none" w:sz="0" w:space="0" w:color="auto"/>
        <w:bottom w:val="none" w:sz="0" w:space="0" w:color="auto"/>
        <w:right w:val="none" w:sz="0" w:space="0" w:color="auto"/>
      </w:divBdr>
    </w:div>
    <w:div w:id="1963807762">
      <w:bodyDiv w:val="1"/>
      <w:marLeft w:val="0"/>
      <w:marRight w:val="0"/>
      <w:marTop w:val="0"/>
      <w:marBottom w:val="0"/>
      <w:divBdr>
        <w:top w:val="none" w:sz="0" w:space="0" w:color="auto"/>
        <w:left w:val="none" w:sz="0" w:space="0" w:color="auto"/>
        <w:bottom w:val="none" w:sz="0" w:space="0" w:color="auto"/>
        <w:right w:val="none" w:sz="0" w:space="0" w:color="auto"/>
      </w:divBdr>
      <w:divsChild>
        <w:div w:id="456988553">
          <w:marLeft w:val="0"/>
          <w:marRight w:val="0"/>
          <w:marTop w:val="0"/>
          <w:marBottom w:val="0"/>
          <w:divBdr>
            <w:top w:val="none" w:sz="0" w:space="0" w:color="auto"/>
            <w:left w:val="none" w:sz="0" w:space="0" w:color="auto"/>
            <w:bottom w:val="none" w:sz="0" w:space="0" w:color="auto"/>
            <w:right w:val="none" w:sz="0" w:space="0" w:color="auto"/>
          </w:divBdr>
          <w:divsChild>
            <w:div w:id="533426141">
              <w:marLeft w:val="0"/>
              <w:marRight w:val="0"/>
              <w:marTop w:val="0"/>
              <w:marBottom w:val="0"/>
              <w:divBdr>
                <w:top w:val="none" w:sz="0" w:space="0" w:color="auto"/>
                <w:left w:val="none" w:sz="0" w:space="0" w:color="auto"/>
                <w:bottom w:val="none" w:sz="0" w:space="0" w:color="auto"/>
                <w:right w:val="none" w:sz="0" w:space="0" w:color="auto"/>
              </w:divBdr>
              <w:divsChild>
                <w:div w:id="726882721">
                  <w:marLeft w:val="0"/>
                  <w:marRight w:val="0"/>
                  <w:marTop w:val="0"/>
                  <w:marBottom w:val="0"/>
                  <w:divBdr>
                    <w:top w:val="none" w:sz="0" w:space="0" w:color="auto"/>
                    <w:left w:val="none" w:sz="0" w:space="0" w:color="auto"/>
                    <w:bottom w:val="none" w:sz="0" w:space="0" w:color="auto"/>
                    <w:right w:val="none" w:sz="0" w:space="0" w:color="auto"/>
                  </w:divBdr>
                  <w:divsChild>
                    <w:div w:id="18961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1553">
      <w:bodyDiv w:val="1"/>
      <w:marLeft w:val="0"/>
      <w:marRight w:val="0"/>
      <w:marTop w:val="0"/>
      <w:marBottom w:val="0"/>
      <w:divBdr>
        <w:top w:val="none" w:sz="0" w:space="0" w:color="auto"/>
        <w:left w:val="none" w:sz="0" w:space="0" w:color="auto"/>
        <w:bottom w:val="none" w:sz="0" w:space="0" w:color="auto"/>
        <w:right w:val="none" w:sz="0" w:space="0" w:color="auto"/>
      </w:divBdr>
      <w:divsChild>
        <w:div w:id="1921596230">
          <w:marLeft w:val="0"/>
          <w:marRight w:val="0"/>
          <w:marTop w:val="0"/>
          <w:marBottom w:val="0"/>
          <w:divBdr>
            <w:top w:val="none" w:sz="0" w:space="0" w:color="auto"/>
            <w:left w:val="none" w:sz="0" w:space="0" w:color="auto"/>
            <w:bottom w:val="none" w:sz="0" w:space="0" w:color="auto"/>
            <w:right w:val="none" w:sz="0" w:space="0" w:color="auto"/>
          </w:divBdr>
          <w:divsChild>
            <w:div w:id="401758230">
              <w:marLeft w:val="0"/>
              <w:marRight w:val="0"/>
              <w:marTop w:val="0"/>
              <w:marBottom w:val="0"/>
              <w:divBdr>
                <w:top w:val="none" w:sz="0" w:space="0" w:color="auto"/>
                <w:left w:val="none" w:sz="0" w:space="0" w:color="auto"/>
                <w:bottom w:val="none" w:sz="0" w:space="0" w:color="auto"/>
                <w:right w:val="none" w:sz="0" w:space="0" w:color="auto"/>
              </w:divBdr>
              <w:divsChild>
                <w:div w:id="1989823591">
                  <w:marLeft w:val="0"/>
                  <w:marRight w:val="0"/>
                  <w:marTop w:val="0"/>
                  <w:marBottom w:val="0"/>
                  <w:divBdr>
                    <w:top w:val="none" w:sz="0" w:space="0" w:color="auto"/>
                    <w:left w:val="none" w:sz="0" w:space="0" w:color="auto"/>
                    <w:bottom w:val="none" w:sz="0" w:space="0" w:color="auto"/>
                    <w:right w:val="none" w:sz="0" w:space="0" w:color="auto"/>
                  </w:divBdr>
                  <w:divsChild>
                    <w:div w:id="949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5404">
      <w:bodyDiv w:val="1"/>
      <w:marLeft w:val="0"/>
      <w:marRight w:val="0"/>
      <w:marTop w:val="0"/>
      <w:marBottom w:val="0"/>
      <w:divBdr>
        <w:top w:val="none" w:sz="0" w:space="0" w:color="auto"/>
        <w:left w:val="none" w:sz="0" w:space="0" w:color="auto"/>
        <w:bottom w:val="none" w:sz="0" w:space="0" w:color="auto"/>
        <w:right w:val="none" w:sz="0" w:space="0" w:color="auto"/>
      </w:divBdr>
      <w:divsChild>
        <w:div w:id="464660836">
          <w:marLeft w:val="0"/>
          <w:marRight w:val="0"/>
          <w:marTop w:val="0"/>
          <w:marBottom w:val="0"/>
          <w:divBdr>
            <w:top w:val="none" w:sz="0" w:space="0" w:color="auto"/>
            <w:left w:val="none" w:sz="0" w:space="0" w:color="auto"/>
            <w:bottom w:val="none" w:sz="0" w:space="0" w:color="auto"/>
            <w:right w:val="none" w:sz="0" w:space="0" w:color="auto"/>
          </w:divBdr>
          <w:divsChild>
            <w:div w:id="1378041564">
              <w:marLeft w:val="0"/>
              <w:marRight w:val="0"/>
              <w:marTop w:val="0"/>
              <w:marBottom w:val="0"/>
              <w:divBdr>
                <w:top w:val="none" w:sz="0" w:space="0" w:color="auto"/>
                <w:left w:val="none" w:sz="0" w:space="0" w:color="auto"/>
                <w:bottom w:val="none" w:sz="0" w:space="0" w:color="auto"/>
                <w:right w:val="none" w:sz="0" w:space="0" w:color="auto"/>
              </w:divBdr>
              <w:divsChild>
                <w:div w:id="9433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1034">
      <w:bodyDiv w:val="1"/>
      <w:marLeft w:val="0"/>
      <w:marRight w:val="0"/>
      <w:marTop w:val="0"/>
      <w:marBottom w:val="0"/>
      <w:divBdr>
        <w:top w:val="none" w:sz="0" w:space="0" w:color="auto"/>
        <w:left w:val="none" w:sz="0" w:space="0" w:color="auto"/>
        <w:bottom w:val="none" w:sz="0" w:space="0" w:color="auto"/>
        <w:right w:val="none" w:sz="0" w:space="0" w:color="auto"/>
      </w:divBdr>
      <w:divsChild>
        <w:div w:id="643699079">
          <w:marLeft w:val="0"/>
          <w:marRight w:val="0"/>
          <w:marTop w:val="0"/>
          <w:marBottom w:val="0"/>
          <w:divBdr>
            <w:top w:val="none" w:sz="0" w:space="0" w:color="auto"/>
            <w:left w:val="none" w:sz="0" w:space="0" w:color="auto"/>
            <w:bottom w:val="none" w:sz="0" w:space="0" w:color="auto"/>
            <w:right w:val="none" w:sz="0" w:space="0" w:color="auto"/>
          </w:divBdr>
          <w:divsChild>
            <w:div w:id="1940025684">
              <w:marLeft w:val="0"/>
              <w:marRight w:val="0"/>
              <w:marTop w:val="0"/>
              <w:marBottom w:val="0"/>
              <w:divBdr>
                <w:top w:val="none" w:sz="0" w:space="0" w:color="auto"/>
                <w:left w:val="none" w:sz="0" w:space="0" w:color="auto"/>
                <w:bottom w:val="none" w:sz="0" w:space="0" w:color="auto"/>
                <w:right w:val="none" w:sz="0" w:space="0" w:color="auto"/>
              </w:divBdr>
              <w:divsChild>
                <w:div w:id="1790121214">
                  <w:marLeft w:val="0"/>
                  <w:marRight w:val="0"/>
                  <w:marTop w:val="0"/>
                  <w:marBottom w:val="0"/>
                  <w:divBdr>
                    <w:top w:val="none" w:sz="0" w:space="0" w:color="auto"/>
                    <w:left w:val="none" w:sz="0" w:space="0" w:color="auto"/>
                    <w:bottom w:val="none" w:sz="0" w:space="0" w:color="auto"/>
                    <w:right w:val="none" w:sz="0" w:space="0" w:color="auto"/>
                  </w:divBdr>
                </w:div>
              </w:divsChild>
            </w:div>
            <w:div w:id="653752753">
              <w:marLeft w:val="0"/>
              <w:marRight w:val="0"/>
              <w:marTop w:val="0"/>
              <w:marBottom w:val="0"/>
              <w:divBdr>
                <w:top w:val="none" w:sz="0" w:space="0" w:color="auto"/>
                <w:left w:val="none" w:sz="0" w:space="0" w:color="auto"/>
                <w:bottom w:val="none" w:sz="0" w:space="0" w:color="auto"/>
                <w:right w:val="none" w:sz="0" w:space="0" w:color="auto"/>
              </w:divBdr>
              <w:divsChild>
                <w:div w:id="1584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frontlinedefenders.org/&#8211;node/24742" TargetMode="External"/><Relationship Id="rId18" Type="http://schemas.openxmlformats.org/officeDocument/2006/relationships/hyperlink" Target="http://protect&#8211;ionline.org/es/2015/05/22/honduras-asesinato-de-lider-comunitario-indigena-moises-duron-sanchez/" TargetMode="External"/><Relationship Id="rId26" Type="http://schemas.openxmlformats.org/officeDocument/2006/relationships/hyperlink" Target="http://radioprogresohn.net/index.php/comunicaciones/noticias/item/2098-contin&#8211;%C3%BAan-amenazas-a-l%C3%ADderes-de-tribu-francisco-en-locomapa-yoro" TargetMode="External"/><Relationship Id="rId39" Type="http://schemas.openxmlformats.org/officeDocument/2006/relationships/hyperlink" Target="http://www.oas.org/en/iachr" TargetMode="External"/><Relationship Id="rId21" Type="http://schemas.openxmlformats.org/officeDocument/2006/relationships/hyperlink" Target="https://www.frontlinedefenders.org/node/25313" TargetMode="External"/><Relationship Id="rId34" Type="http://schemas.openxmlformats.org/officeDocument/2006/relationships/hyperlink" Target="http://www.iwgia.org/iwgia_files_publications_files/0716_THE_INDIGENOUS_ORLD_2015_eb.pdf" TargetMode="External"/><Relationship Id="rId42" Type="http://schemas.openxmlformats.org/officeDocument/2006/relationships/hyperlink" Target="http://www.oas.org/en/iachr/docs/pdf/CitizenSec.pdf" TargetMode="External"/><Relationship Id="rId47" Type="http://schemas.openxmlformats.org/officeDocument/2006/relationships/hyperlink" Target="http://www.cidh.org/pdf%20files/VENEZUELA%202009%20ENG.pdf" TargetMode="External"/><Relationship Id="rId50" Type="http://schemas.openxmlformats.org/officeDocument/2006/relationships/hyperlink" Target="http://www.oas.org/en/iachr/decisions/cases.asp" TargetMode="External"/><Relationship Id="rId55" Type="http://schemas.openxmlformats.org/officeDocument/2006/relationships/hyperlink" Target="http://www.oas.org/es/cidh/defensores/docs/pdf/Justice-Operators-2013.pdf" TargetMode="External"/><Relationship Id="rId63" Type="http://schemas.openxmlformats.org/officeDocument/2006/relationships/hyperlink" Target="http://www.oas.org/en/iachr/defenders/docs/pdf/defenders2011.pdf" TargetMode="External"/><Relationship Id="rId7" Type="http://schemas.openxmlformats.org/officeDocument/2006/relationships/hyperlink" Target="https://www.sepol.hn/sepol-estadisticas-honduras.php?id=136" TargetMode="External"/><Relationship Id="rId2" Type="http://schemas.openxmlformats.org/officeDocument/2006/relationships/hyperlink" Target="http://www.unodc.org/&#8211;documents/data-and-analysis/statistics/GSH2013/2014_GLOBAL_HOMICIDE_BOOK_web.pdf" TargetMode="External"/><Relationship Id="rId16" Type="http://schemas.openxmlformats.org/officeDocument/2006/relationships/hyperlink" Target="http://www.copinh.org/article/asesinan-al-companero-moises-duron-sanchez%20-leader-c/" TargetMode="External"/><Relationship Id="rId29" Type="http://schemas.openxmlformats.org/officeDocument/2006/relationships/hyperlink" Target="http://www.pbi-honduras.org/fileadmin/user_files/projects/honduras/&#8211;Publi&#8211;cations/Pbi_Honduras_briefing_Santa_Elena_10_December_2014__EN.pdf" TargetMode="External"/><Relationship Id="rId1" Type="http://schemas.openxmlformats.org/officeDocument/2006/relationships/hyperlink" Target="http://www.oas.org/es/cidh/docs/anual/2015/doc-es/HO-Observaciones2015.pdf" TargetMode="External"/><Relationship Id="rId6" Type="http://schemas.openxmlformats.org/officeDocument/2006/relationships/hyperlink" Target="http://www.oas.org/es/cidh/docs/anual/2015/doc-es/HO-Observaciones2015.pdf" TargetMode="External"/><Relationship Id="rId11" Type="http://schemas.openxmlformats.org/officeDocument/2006/relationships/hyperlink" Target="http://daccess-dds-ny.un.org/doc/UNDOC/GEN/&#8211;G13/160/95/PDF/G1316095.pdf?OpenElement" TargetMode="External"/><Relationship Id="rId24" Type="http://schemas.openxmlformats.org/officeDocument/2006/relationships/hyperlink" Target="http://www.elheraldo.hn/vida/828446-332/matan-a-ind%C3%ADgena-tolup%C3%A1n-en-yoro?kw=Tolup%25&#8211;C&#8211;3%A1n%20asesinado" TargetMode="External"/><Relationship Id="rId32" Type="http://schemas.openxmlformats.org/officeDocument/2006/relationships/hyperlink" Target="http://www.oas.org/en/iachr/defenders/docs/pdf/defen&#8211;ders2011.pdf" TargetMode="External"/><Relationship Id="rId37" Type="http://schemas.openxmlformats.org/officeDocument/2006/relationships/hyperlink" Target="http://www.oas.org/en/iachr/" TargetMode="External"/><Relationship Id="rId40" Type="http://schemas.openxmlformats.org/officeDocument/2006/relationships/hyperlink" Target="http://datos.bancomundial.org/indicador/MS.MIL.XPND.GD.ZS" TargetMode="External"/><Relationship Id="rId45" Type="http://schemas.openxmlformats.org/officeDocument/2006/relationships/hyperlink" Target="http://www.oas.org/en/iachr/docs/pdf/CitizenSec.pdf" TargetMode="External"/><Relationship Id="rId53" Type="http://schemas.openxmlformats.org/officeDocument/2006/relationships/hyperlink" Target="http://www.tsc.gob.hn/biblioteca/index.php/leyes/280-ley-del-consejo-de-la-judicatura-y-la-carrera-judicial" TargetMode="External"/><Relationship Id="rId58" Type="http://schemas.openxmlformats.org/officeDocument/2006/relationships/hyperlink" Target="http://www.poderjudicial.gob.hn/transparencia/&#8211;re&#8211;gulacion/Documents/Decreto%20291-2013%20Reforma%20a%20la%20Ley%20del%20Consejo%20de%25&#8211;20l&#8211;a%20Judicatura%20y%20la%20Carrera%20Judicial%20(4,2mb).pdf" TargetMode="External"/><Relationship Id="rId66" Type="http://schemas.openxmlformats.org/officeDocument/2006/relationships/hyperlink" Target="http://&#8211;www.oas.org/es/cidh/defensores/docs/pdf/Justice-Operators-2013.pdf" TargetMode="External"/><Relationship Id="rId5" Type="http://schemas.openxmlformats.org/officeDocument/2006/relationships/hyperlink" Target="http://iudpas.org/&#8211;pdf/Boletines/Nacional/NEd24EneDic2011.pdf" TargetMode="External"/><Relationship Id="rId15" Type="http://schemas.openxmlformats.org/officeDocument/2006/relationships/hyperlink" Target="http://www.cehprodec.org/index.php/noticias/40-denuncia-en-la-fiscalia-de-las-etnias-el-brutal-asesinato-de-indigena-en-las-riberas-del-rio-chinacla" TargetMode="External"/><Relationship Id="rId23" Type="http://schemas.openxmlformats.org/officeDocument/2006/relationships/hyperlink" Target="http://www.oas.org" TargetMode="External"/><Relationship Id="rId28" Type="http://schemas.openxmlformats.org/officeDocument/2006/relationships/hyperlink" Target="http://www.oas.org/en/iachr/" TargetMode="External"/><Relationship Id="rId36" Type="http://schemas.openxmlformats.org/officeDocument/2006/relationships/hyperlink" Target="http://docstore.ohchr.org/SelfServices/FilesHandler.ashx?enc=6QkG1d%2FPPRiCAqhKb7yhsryCSwE1zhGSy1dtWJQsJlik1gpqmnyLICP%2FutRXTNi6763I%2BdHDNLfWrDwvKupc%2BIpYbkdS6LX6rtzZuTmgPCijyKck8fzHzoam232JZK5L" TargetMode="External"/><Relationship Id="rId49" Type="http://schemas.openxmlformats.org/officeDocument/2006/relationships/hyperlink" Target="http://&#8211;www.oas.org/es/cidh/defensores/docs/pdf/Justice-Operators-2013.pdf" TargetMode="External"/><Relationship Id="rId57" Type="http://schemas.openxmlformats.org/officeDocument/2006/relationships/hyperlink" Target="http://www.poderjudicial.gob.hn/transparencia/regulacion/Decretos&#8211;Ci&#8211;rcularesAcuerdosPoderJudicial/Documents/Circulares%20Diciembre%20de%202013.pdf" TargetMode="External"/><Relationship Id="rId61" Type="http://schemas.openxmlformats.org/officeDocument/2006/relationships/hyperlink" Target="http://www.poderjudicial.gob.hn/&#8211;CEDIJ/Leyes/Documents/Acuerdo%20N.5%202014%20Reglamento%20de%20la%20Ley%20del%20Consejo%20de%20la%20Judicatura%20(8.70%20MB).pdf" TargetMode="External"/><Relationship Id="rId10" Type="http://schemas.openxmlformats.org/officeDocument/2006/relationships/hyperlink" Target="http://daccess-dds-ny.un.org/doc/UND&#8211;OC/GEN/G13/160/95/PDF/G1316095.pdf?OpenElement" TargetMode="External"/><Relationship Id="rId19" Type="http://schemas.openxmlformats.org/officeDocument/2006/relationships/hyperlink" Target="https://www.frontline&#8211;defenders.org/node/27936" TargetMode="External"/><Relationship Id="rId31" Type="http://schemas.openxmlformats.org/officeDocument/2006/relationships/hyperlink" Target="http://www.oas.org/en/iachr/defenders/docs/pdf/defe&#8211;nders2011.pdf" TargetMode="External"/><Relationship Id="rId44" Type="http://schemas.openxmlformats.org/officeDocument/2006/relationships/hyperlink" Target="http://www.oas.org/en/iachr/docs/pdf/CitizenSec.pdf" TargetMode="External"/><Relationship Id="rId52" Type="http://schemas.openxmlformats.org/officeDocument/2006/relationships/hyperlink" Target="http://www.laprensa.hn/honduras/tegucigalpa/476423-98/depuracion-del-poder-judicial-de-honduras-durara-5-anos" TargetMode="External"/><Relationship Id="rId60" Type="http://schemas.openxmlformats.org/officeDocument/2006/relationships/hyperlink" Target="http://www.poderjudicial.gob.hn/&#8211;CEDIJ/Leyes/Documents/Acuerdo%20N.5%202014%20Reglamento%20de%20la%20Ley%20del%20Consejo%20de%20la%20Judicatura%20(8.70%20MB).pdf" TargetMode="External"/><Relationship Id="rId65" Type="http://schemas.openxmlformats.org/officeDocument/2006/relationships/hyperlink" Target="http://www.oas.org/es/cidh/defensores/docs/pdf/Justice-Operators-2013.pdf" TargetMode="External"/><Relationship Id="rId4" Type="http://schemas.openxmlformats.org/officeDocument/2006/relationships/hyperlink" Target="http://iudpas.org/pdf/Boletines/Nacional/NEd32EneDic2013.pdf" TargetMode="External"/><Relationship Id="rId9" Type="http://schemas.openxmlformats.org/officeDocument/2006/relationships/hyperlink" Target="http://daccess-dds-ny.un.org/doc/&#8211;UN&#8211;DOC/GEN/G13/160/95/PDF/G1316095.pdf?OpenElement" TargetMode="External"/><Relationship Id="rId14" Type="http://schemas.openxmlformats.org/officeDocument/2006/relationships/hyperlink" Target="http://www.iwgia.org/iwgia_files_publications_files/0716_THE_INDIGENOUS_ORLD_2015_eb&#8211;.pdf" TargetMode="External"/><Relationship Id="rId22" Type="http://schemas.openxmlformats.org/officeDocument/2006/relationships/hyperlink" Target="http://www.pbi-honduras.org/fileadmin/user_files/projects/honduras/Publications/B02-16-SPA-rev.pdf" TargetMode="External"/><Relationship Id="rId27" Type="http://schemas.openxmlformats.org/officeDocument/2006/relationships/hyperlink" Target="http://www.pbi-honduras.org/fileadmin/user_files/projects/honduras/Publications/B02-16-SPA-rev.pdf" TargetMode="External"/><Relationship Id="rId30" Type="http://schemas.openxmlformats.org/officeDocument/2006/relationships/hyperlink" Target="http://www.pbi-honduras.org/fileadmin/user_files/projects/honduras/Publications/Pbi_Honduras_briefing&#8211;_Santa_Elena_10_December_2014__EN.pdf" TargetMode="External"/><Relationship Id="rId35" Type="http://schemas.openxmlformats.org/officeDocument/2006/relationships/hyperlink" Target="http://tbinternet.ohchr.org/Treaties/CERD/Shared%20Documents/HND/INT_CERD_NGO_HND&#8211;_16234_S.pdf" TargetMode="External"/><Relationship Id="rId43" Type="http://schemas.openxmlformats.org/officeDocument/2006/relationships/hyperlink" Target="http://&#8211;www.oas.org/en/iachr/docs/pdf/CitizenSec.pdf" TargetMode="External"/><Relationship Id="rId48" Type="http://schemas.openxmlformats.org/officeDocument/2006/relationships/hyperlink" Target="http://www.oas.org/es/cidh/defensores/docs/pdf/Justice-Operators-2013.pdf" TargetMode="External"/><Relationship Id="rId56" Type="http://schemas.openxmlformats.org/officeDocument/2006/relationships/hyperlink" Target="http://www.elheraldo.hn/inicio/757841-331/m%C3%A1s-de-100-suspendidos-ha-dejado-depuraci%C3%B3n-judicial-de-honduras" TargetMode="External"/><Relationship Id="rId64" Type="http://schemas.openxmlformats.org/officeDocument/2006/relationships/hyperlink" Target="http://cidh.org/pdf%20files/BOLIVIA.07.ENG.pdf" TargetMode="External"/><Relationship Id="rId8" Type="http://schemas.openxmlformats.org/officeDocument/2006/relationships/hyperlink" Target="https://www.sepol.hn/sepol-estadisticas-honduras.php?id=136" TargetMode="External"/><Relationship Id="rId51" Type="http://schemas.openxmlformats.org/officeDocument/2006/relationships/hyperlink" Target="http://www&#8211;.tsc.gob.hn/biblioteca/index.php/leyes/280-ley-del-consejo-de-la-judicatura-y-la-carrera-judicial" TargetMode="External"/><Relationship Id="rId3" Type="http://schemas.openxmlformats.org/officeDocument/2006/relationships/hyperlink" Target="https://presencia.unah.edu.hn/seguridad/articulo/honduras-no-registro-tasa-de-homicidios-de-90-4-por-cada-100-000-habitantes-en-2012" TargetMode="External"/><Relationship Id="rId12" Type="http://schemas.openxmlformats.org/officeDocument/2006/relationships/hyperlink" Target="http://www.laprensa.hn/sucesos/822362-410/asesinan-a-abogado-a-pocas-cuadras-del-par&#8211;q&#8211;ue-desan-pedro-sula" TargetMode="External"/><Relationship Id="rId17" Type="http://schemas.openxmlformats.org/officeDocument/2006/relationships/hyperlink" Target="http://www.pcslatin.org/portal/index.php/component/content/article/152-sala-de-prensa/3072-honduras-sicarios-asesinan-a-lider-comunitario?temid=508%20" TargetMode="External"/><Relationship Id="rId25" Type="http://schemas.openxmlformats.org/officeDocument/2006/relationships/hyperlink" Target="http://tiempo.hn/nacion/item/25902-asesinan-a-indigena-en-hond&#8211;uras-en-medio-de-conflicto-con-mineras" TargetMode="External"/><Relationship Id="rId33" Type="http://schemas.openxmlformats.org/officeDocument/2006/relationships/hyperlink" Target="https://www.global&#8211;witness.org/campaigns/environmental-activists/cuantos-mas/" TargetMode="External"/><Relationship Id="rId38" Type="http://schemas.openxmlformats.org/officeDocument/2006/relationships/hyperlink" Target="http://www.oas.org/en/iachr" TargetMode="External"/><Relationship Id="rId46" Type="http://schemas.openxmlformats.org/officeDocument/2006/relationships/hyperlink" Target="http://www.cidh.org/countryrep/Honduras10eng/IACHRPreliminaryObs&#8211;ervationsHondurasVisitMay2010.pdf" TargetMode="External"/><Relationship Id="rId59" Type="http://schemas.openxmlformats.org/officeDocument/2006/relationships/hyperlink" Target="http://www.poderjudicial.gob.hn/&#8211;CEDIJ/Leyes/Documents/Acuerdo%20N.5%202014%20Reglamento%20de%20la%20Ley%20del%20Consejo%20de%20la%20Judicatura%20(8.70%20MB).pdf" TargetMode="External"/><Relationship Id="rId67" Type="http://schemas.openxmlformats.org/officeDocument/2006/relationships/hyperlink" Target="http://www.oas.org/es/cidh/defensores/docs/pdf/Justice-Operators-2013.pdf" TargetMode="External"/><Relationship Id="rId20" Type="http://schemas.openxmlformats.org/officeDocument/2006/relationships/hyperlink" Target="http://www.oas.org/en/iachr/" TargetMode="External"/><Relationship Id="rId41" Type="http://schemas.openxmlformats.org/officeDocument/2006/relationships/hyperlink" Target="http://www.laprensa.hn/honduras/773467-410/honduras-retrocede-con-militarizaci%C3%B3n-de-instituciones-p%C3%BAblicas" TargetMode="External"/><Relationship Id="rId54" Type="http://schemas.openxmlformats.org/officeDocument/2006/relationships/hyperlink" Target="http://www.radioprogresohn.net/index.php/comunicaciones/noticias/item/958-clima-de-intimidaci%C3%B3n-genera-proceso-de-depuraci%C3%B3n-judicial" TargetMode="External"/><Relationship Id="rId62" Type="http://schemas.openxmlformats.org/officeDocument/2006/relationships/hyperlink" Target="http://www.poderjudicial.gob.hn/&#8211;CEDIJ/Leyes/Documents/Acuerdo%20N.5%202014%20Reglamento%20de%20la%20Ley%20del%20Consejo%20de%20la%20Judicatura%20(8.70%20M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9113-BC26-4FAF-8917-D713CF90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11478</Words>
  <Characters>63132</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Situation of Human Rights in Honduras</vt:lpstr>
    </vt:vector>
  </TitlesOfParts>
  <Company/>
  <LinksUpToDate>false</LinksUpToDate>
  <CharactersWithSpaces>74462</CharactersWithSpaces>
  <SharedDoc>false</SharedDoc>
  <HLinks>
    <vt:vector size="120" baseType="variant">
      <vt:variant>
        <vt:i4>1114161</vt:i4>
      </vt:variant>
      <vt:variant>
        <vt:i4>50</vt:i4>
      </vt:variant>
      <vt:variant>
        <vt:i4>0</vt:i4>
      </vt:variant>
      <vt:variant>
        <vt:i4>5</vt:i4>
      </vt:variant>
      <vt:variant>
        <vt:lpwstr/>
      </vt:variant>
      <vt:variant>
        <vt:lpwstr>_Toc392951578</vt:lpwstr>
      </vt:variant>
      <vt:variant>
        <vt:i4>1114161</vt:i4>
      </vt:variant>
      <vt:variant>
        <vt:i4>44</vt:i4>
      </vt:variant>
      <vt:variant>
        <vt:i4>0</vt:i4>
      </vt:variant>
      <vt:variant>
        <vt:i4>5</vt:i4>
      </vt:variant>
      <vt:variant>
        <vt:lpwstr/>
      </vt:variant>
      <vt:variant>
        <vt:lpwstr>_Toc392951577</vt:lpwstr>
      </vt:variant>
      <vt:variant>
        <vt:i4>1114161</vt:i4>
      </vt:variant>
      <vt:variant>
        <vt:i4>38</vt:i4>
      </vt:variant>
      <vt:variant>
        <vt:i4>0</vt:i4>
      </vt:variant>
      <vt:variant>
        <vt:i4>5</vt:i4>
      </vt:variant>
      <vt:variant>
        <vt:lpwstr/>
      </vt:variant>
      <vt:variant>
        <vt:lpwstr>_Toc392951576</vt:lpwstr>
      </vt:variant>
      <vt:variant>
        <vt:i4>1114161</vt:i4>
      </vt:variant>
      <vt:variant>
        <vt:i4>32</vt:i4>
      </vt:variant>
      <vt:variant>
        <vt:i4>0</vt:i4>
      </vt:variant>
      <vt:variant>
        <vt:i4>5</vt:i4>
      </vt:variant>
      <vt:variant>
        <vt:lpwstr/>
      </vt:variant>
      <vt:variant>
        <vt:lpwstr>_Toc392951575</vt:lpwstr>
      </vt:variant>
      <vt:variant>
        <vt:i4>1114161</vt:i4>
      </vt:variant>
      <vt:variant>
        <vt:i4>26</vt:i4>
      </vt:variant>
      <vt:variant>
        <vt:i4>0</vt:i4>
      </vt:variant>
      <vt:variant>
        <vt:i4>5</vt:i4>
      </vt:variant>
      <vt:variant>
        <vt:lpwstr/>
      </vt:variant>
      <vt:variant>
        <vt:lpwstr>_Toc392951574</vt:lpwstr>
      </vt:variant>
      <vt:variant>
        <vt:i4>1114161</vt:i4>
      </vt:variant>
      <vt:variant>
        <vt:i4>20</vt:i4>
      </vt:variant>
      <vt:variant>
        <vt:i4>0</vt:i4>
      </vt:variant>
      <vt:variant>
        <vt:i4>5</vt:i4>
      </vt:variant>
      <vt:variant>
        <vt:lpwstr/>
      </vt:variant>
      <vt:variant>
        <vt:lpwstr>_Toc392951573</vt:lpwstr>
      </vt:variant>
      <vt:variant>
        <vt:i4>1114161</vt:i4>
      </vt:variant>
      <vt:variant>
        <vt:i4>14</vt:i4>
      </vt:variant>
      <vt:variant>
        <vt:i4>0</vt:i4>
      </vt:variant>
      <vt:variant>
        <vt:i4>5</vt:i4>
      </vt:variant>
      <vt:variant>
        <vt:lpwstr/>
      </vt:variant>
      <vt:variant>
        <vt:lpwstr>_Toc392951572</vt:lpwstr>
      </vt:variant>
      <vt:variant>
        <vt:i4>1114161</vt:i4>
      </vt:variant>
      <vt:variant>
        <vt:i4>8</vt:i4>
      </vt:variant>
      <vt:variant>
        <vt:i4>0</vt:i4>
      </vt:variant>
      <vt:variant>
        <vt:i4>5</vt:i4>
      </vt:variant>
      <vt:variant>
        <vt:lpwstr/>
      </vt:variant>
      <vt:variant>
        <vt:lpwstr>_Toc392951571</vt:lpwstr>
      </vt:variant>
      <vt:variant>
        <vt:i4>1114161</vt:i4>
      </vt:variant>
      <vt:variant>
        <vt:i4>2</vt:i4>
      </vt:variant>
      <vt:variant>
        <vt:i4>0</vt:i4>
      </vt:variant>
      <vt:variant>
        <vt:i4>5</vt:i4>
      </vt:variant>
      <vt:variant>
        <vt:lpwstr/>
      </vt:variant>
      <vt:variant>
        <vt:lpwstr>_Toc392951570</vt:lpwstr>
      </vt:variant>
      <vt:variant>
        <vt:i4>80</vt:i4>
      </vt:variant>
      <vt:variant>
        <vt:i4>30</vt:i4>
      </vt:variant>
      <vt:variant>
        <vt:i4>0</vt:i4>
      </vt:variant>
      <vt:variant>
        <vt:i4>5</vt:i4>
      </vt:variant>
      <vt:variant>
        <vt:lpwstr>http://www.ohchr.org/EN/HRBodies/UPR/Pages/Documentation.aspx</vt:lpwstr>
      </vt:variant>
      <vt:variant>
        <vt:lpwstr/>
      </vt:variant>
      <vt:variant>
        <vt:i4>80</vt:i4>
      </vt:variant>
      <vt:variant>
        <vt:i4>27</vt:i4>
      </vt:variant>
      <vt:variant>
        <vt:i4>0</vt:i4>
      </vt:variant>
      <vt:variant>
        <vt:i4>5</vt:i4>
      </vt:variant>
      <vt:variant>
        <vt:lpwstr>http://www.ohchr.org/EN/HRBodies/UPR/Pages/Documentation.aspx</vt:lpwstr>
      </vt:variant>
      <vt:variant>
        <vt:lpwstr/>
      </vt:variant>
      <vt:variant>
        <vt:i4>80</vt:i4>
      </vt:variant>
      <vt:variant>
        <vt:i4>24</vt:i4>
      </vt:variant>
      <vt:variant>
        <vt:i4>0</vt:i4>
      </vt:variant>
      <vt:variant>
        <vt:i4>5</vt:i4>
      </vt:variant>
      <vt:variant>
        <vt:lpwstr>http://www.ohchr.org/EN/HRBodies/UPR/Pages/Documentation.aspx</vt:lpwstr>
      </vt:variant>
      <vt:variant>
        <vt:lpwstr/>
      </vt:variant>
      <vt:variant>
        <vt:i4>80</vt:i4>
      </vt:variant>
      <vt:variant>
        <vt:i4>21</vt:i4>
      </vt:variant>
      <vt:variant>
        <vt:i4>0</vt:i4>
      </vt:variant>
      <vt:variant>
        <vt:i4>5</vt:i4>
      </vt:variant>
      <vt:variant>
        <vt:lpwstr>http://www.ohchr.org/EN/HRBodies/UPR/Pages/Documentation.aspx</vt:lpwstr>
      </vt:variant>
      <vt:variant>
        <vt:lpwstr/>
      </vt:variant>
      <vt:variant>
        <vt:i4>80</vt:i4>
      </vt:variant>
      <vt:variant>
        <vt:i4>18</vt:i4>
      </vt:variant>
      <vt:variant>
        <vt:i4>0</vt:i4>
      </vt:variant>
      <vt:variant>
        <vt:i4>5</vt:i4>
      </vt:variant>
      <vt:variant>
        <vt:lpwstr>http://www.ohchr.org/EN/HRBodies/UPR/Pages/Documentation.aspx</vt:lpwstr>
      </vt:variant>
      <vt:variant>
        <vt:lpwstr/>
      </vt:variant>
      <vt:variant>
        <vt:i4>8126588</vt:i4>
      </vt:variant>
      <vt:variant>
        <vt:i4>15</vt:i4>
      </vt:variant>
      <vt:variant>
        <vt:i4>0</vt:i4>
      </vt:variant>
      <vt:variant>
        <vt:i4>5</vt:i4>
      </vt:variant>
      <vt:variant>
        <vt:lpwstr>http://www.cidh.oas.org/annualrep/2008sp/cap2.sp.htm</vt:lpwstr>
      </vt:variant>
      <vt:variant>
        <vt:lpwstr>Visitas</vt:lpwstr>
      </vt:variant>
      <vt:variant>
        <vt:i4>4980821</vt:i4>
      </vt:variant>
      <vt:variant>
        <vt:i4>12</vt:i4>
      </vt:variant>
      <vt:variant>
        <vt:i4>0</vt:i4>
      </vt:variant>
      <vt:variant>
        <vt:i4>5</vt:i4>
      </vt:variant>
      <vt:variant>
        <vt:lpwstr>http://www.wcl.american.edu/humright/center/dvresolutions.cfm</vt:lpwstr>
      </vt:variant>
      <vt:variant>
        <vt:lpwstr/>
      </vt:variant>
      <vt:variant>
        <vt:i4>7602284</vt:i4>
      </vt:variant>
      <vt:variant>
        <vt:i4>9</vt:i4>
      </vt:variant>
      <vt:variant>
        <vt:i4>0</vt:i4>
      </vt:variant>
      <vt:variant>
        <vt:i4>5</vt:i4>
      </vt:variant>
      <vt:variant>
        <vt:lpwstr>http://www.oas.org/es/cidh/informes/anuales.asp</vt:lpwstr>
      </vt:variant>
      <vt:variant>
        <vt:lpwstr/>
      </vt:variant>
      <vt:variant>
        <vt:i4>7798893</vt:i4>
      </vt:variant>
      <vt:variant>
        <vt:i4>6</vt:i4>
      </vt:variant>
      <vt:variant>
        <vt:i4>0</vt:i4>
      </vt:variant>
      <vt:variant>
        <vt:i4>5</vt:i4>
      </vt:variant>
      <vt:variant>
        <vt:lpwstr>http://www.oas.org/es/cidh/actividades/visitas.asp</vt:lpwstr>
      </vt:variant>
      <vt:variant>
        <vt:lpwstr/>
      </vt:variant>
      <vt:variant>
        <vt:i4>7929911</vt:i4>
      </vt:variant>
      <vt:variant>
        <vt:i4>3</vt:i4>
      </vt:variant>
      <vt:variant>
        <vt:i4>0</vt:i4>
      </vt:variant>
      <vt:variant>
        <vt:i4>5</vt:i4>
      </vt:variant>
      <vt:variant>
        <vt:lpwstr>http://www.oas.org/es/cidh/prensa/comunicados/2013/064.asp</vt:lpwstr>
      </vt:variant>
      <vt:variant>
        <vt:lpwstr/>
      </vt:variant>
      <vt:variant>
        <vt:i4>7798897</vt:i4>
      </vt:variant>
      <vt:variant>
        <vt:i4>0</vt:i4>
      </vt:variant>
      <vt:variant>
        <vt:i4>0</vt:i4>
      </vt:variant>
      <vt:variant>
        <vt:i4>5</vt:i4>
      </vt:variant>
      <vt:variant>
        <vt:lpwstr>http://www.cidh.org/Comunicados/Spanish/1998/Comunicados.10-14.htm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Human Rights in Honduras</dc:title>
  <dc:creator/>
  <cp:lastModifiedBy/>
  <cp:revision>1</cp:revision>
  <dcterms:created xsi:type="dcterms:W3CDTF">2018-05-05T09:07:00Z</dcterms:created>
  <dcterms:modified xsi:type="dcterms:W3CDTF">2018-05-05T09:13:00Z</dcterms:modified>
</cp:coreProperties>
</file>